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highlight w:val="none"/>
          <w:lang w:val="en-US" w:eastAsia="zh-CN"/>
        </w:rPr>
        <w:t>《</w:t>
      </w:r>
      <w:r>
        <w:rPr>
          <w:rFonts w:hint="eastAsia" w:ascii="方正小标宋简体" w:hAnsi="方正小标宋简体" w:eastAsia="方正小标宋简体" w:cs="方正小标宋简体"/>
          <w:color w:val="auto"/>
          <w:sz w:val="44"/>
          <w:szCs w:val="44"/>
          <w:lang w:val="en" w:eastAsia="zh-CN"/>
        </w:rPr>
        <w:t>深圳市</w:t>
      </w:r>
      <w:r>
        <w:rPr>
          <w:rFonts w:hint="eastAsia" w:ascii="方正小标宋简体" w:hAnsi="方正小标宋简体" w:eastAsia="方正小标宋简体" w:cs="方正小标宋简体"/>
          <w:color w:val="auto"/>
          <w:sz w:val="44"/>
          <w:szCs w:val="44"/>
          <w:lang w:val="en-US" w:eastAsia="zh-CN"/>
        </w:rPr>
        <w:t>光明区人力资源局关于引进优秀</w:t>
      </w:r>
    </w:p>
    <w:p>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lang w:val="en-US" w:eastAsia="zh-CN"/>
        </w:rPr>
        <w:t>毕业生一次性生活补助的实施细则</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（试行）</w:t>
      </w:r>
      <w:r>
        <w:rPr>
          <w:rFonts w:hint="eastAsia" w:ascii="方正小标宋简体" w:hAnsi="方正小标宋简体" w:eastAsia="方正小标宋简体" w:cs="方正小标宋简体"/>
          <w:color w:val="auto"/>
          <w:sz w:val="44"/>
          <w:szCs w:val="44"/>
          <w:highlight w:val="none"/>
          <w:lang w:val="en-US" w:eastAsia="zh-CN"/>
        </w:rPr>
        <w:t>》</w:t>
      </w:r>
      <w:r>
        <w:rPr>
          <w:rFonts w:hint="eastAsia" w:ascii="方正小标宋简体" w:hAnsi="方正小标宋简体" w:eastAsia="方正小标宋简体" w:cs="方正小标宋简体"/>
          <w:color w:val="auto"/>
          <w:sz w:val="44"/>
          <w:szCs w:val="44"/>
          <w:lang w:val="en-US" w:eastAsia="zh-CN"/>
        </w:rPr>
        <w:t>起草说明</w:t>
      </w:r>
    </w:p>
    <w:p>
      <w:pPr>
        <w:keepNext w:val="0"/>
        <w:keepLines w:val="0"/>
        <w:pageBreakBefore w:val="0"/>
        <w:widowControl w:val="0"/>
        <w:kinsoku/>
        <w:wordWrap/>
        <w:topLinePunct w:val="0"/>
        <w:autoSpaceDE/>
        <w:autoSpaceDN/>
        <w:bidi w:val="0"/>
        <w:adjustRightInd/>
        <w:spacing w:beforeAutospacing="0" w:afterAutospacing="0" w:line="560" w:lineRule="exact"/>
        <w:jc w:val="center"/>
        <w:textAlignment w:val="auto"/>
        <w:rPr>
          <w:rFonts w:hint="eastAsia" w:ascii="方正小标宋简体" w:hAnsi="方正小标宋简体" w:eastAsia="方正小标宋简体" w:cs="方正小标宋简体"/>
          <w:color w:val="auto"/>
          <w:sz w:val="44"/>
          <w:szCs w:val="44"/>
          <w:lang w:val="en-US" w:eastAsia="zh-CN"/>
        </w:rPr>
      </w:pPr>
    </w:p>
    <w:p>
      <w:pPr>
        <w:keepNext w:val="0"/>
        <w:keepLines w:val="0"/>
        <w:pageBreakBefore w:val="0"/>
        <w:widowControl w:val="0"/>
        <w:kinsoku/>
        <w:wordWrap/>
        <w:topLinePunct w:val="0"/>
        <w:autoSpaceDE/>
        <w:autoSpaceDN/>
        <w:bidi w:val="0"/>
        <w:adjustRightInd/>
        <w:spacing w:beforeAutospacing="0" w:afterAutospacing="0" w:line="560" w:lineRule="exact"/>
        <w:ind w:firstLine="640" w:firstLineChars="200"/>
        <w:jc w:val="both"/>
        <w:textAlignment w:val="auto"/>
        <w:rPr>
          <w:rFonts w:hint="eastAsia" w:ascii="黑体" w:hAnsi="黑体" w:eastAsia="黑体"/>
          <w:color w:val="auto"/>
          <w:sz w:val="32"/>
          <w:szCs w:val="32"/>
          <w:lang w:val="en" w:eastAsia="zh-CN"/>
        </w:rPr>
      </w:pPr>
      <w:r>
        <w:rPr>
          <w:rFonts w:hint="eastAsia" w:ascii="黑体" w:hAnsi="黑体" w:eastAsia="黑体"/>
          <w:color w:val="auto"/>
          <w:sz w:val="32"/>
          <w:szCs w:val="32"/>
        </w:rPr>
        <w:t>一、起草</w:t>
      </w:r>
      <w:r>
        <w:rPr>
          <w:rFonts w:hint="eastAsia" w:ascii="黑体" w:hAnsi="黑体" w:eastAsia="黑体"/>
          <w:color w:val="auto"/>
          <w:sz w:val="32"/>
          <w:szCs w:val="32"/>
          <w:lang w:eastAsia="zh-CN"/>
        </w:rPr>
        <w:t>背景</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b w:val="0"/>
          <w:color w:val="auto"/>
          <w:kern w:val="2"/>
          <w:sz w:val="32"/>
          <w:szCs w:val="32"/>
          <w:highlight w:val="none"/>
          <w:lang w:val="en-US" w:eastAsia="zh-CN" w:bidi="ar-SA"/>
        </w:rPr>
      </w:pPr>
      <w:r>
        <w:rPr>
          <w:rFonts w:hint="default" w:ascii="仿宋_GB2312" w:hAnsi="仿宋_GB2312" w:eastAsia="仿宋_GB2312" w:cs="仿宋_GB2312"/>
          <w:b w:val="0"/>
          <w:color w:val="auto"/>
          <w:kern w:val="2"/>
          <w:sz w:val="32"/>
          <w:szCs w:val="32"/>
          <w:highlight w:val="none"/>
          <w:lang w:val="en-US" w:eastAsia="zh-CN" w:bidi="ar-SA"/>
        </w:rPr>
        <w:t>2017年8月</w:t>
      </w:r>
      <w:r>
        <w:rPr>
          <w:rFonts w:hint="eastAsia" w:ascii="仿宋_GB2312" w:hAnsi="仿宋_GB2312" w:eastAsia="仿宋_GB2312" w:cs="仿宋_GB2312"/>
          <w:b w:val="0"/>
          <w:color w:val="auto"/>
          <w:kern w:val="2"/>
          <w:sz w:val="32"/>
          <w:szCs w:val="32"/>
          <w:highlight w:val="none"/>
          <w:lang w:val="en-US" w:eastAsia="zh-CN" w:bidi="ar-SA"/>
        </w:rPr>
        <w:t>深圳市印发了《</w:t>
      </w:r>
      <w:r>
        <w:rPr>
          <w:rFonts w:hint="default" w:ascii="仿宋_GB2312" w:hAnsi="仿宋_GB2312" w:eastAsia="仿宋_GB2312" w:cs="仿宋_GB2312"/>
          <w:b w:val="0"/>
          <w:color w:val="auto"/>
          <w:kern w:val="2"/>
          <w:sz w:val="32"/>
          <w:szCs w:val="32"/>
          <w:highlight w:val="none"/>
          <w:lang w:val="en-US" w:eastAsia="zh-CN" w:bidi="ar-SA"/>
        </w:rPr>
        <w:t>深圳经济特区人才工作条例</w:t>
      </w:r>
      <w:r>
        <w:rPr>
          <w:rFonts w:hint="eastAsia" w:ascii="仿宋_GB2312" w:hAnsi="仿宋_GB2312" w:eastAsia="仿宋_GB2312" w:cs="仿宋_GB2312"/>
          <w:b w:val="0"/>
          <w:color w:val="auto"/>
          <w:kern w:val="2"/>
          <w:sz w:val="32"/>
          <w:szCs w:val="32"/>
          <w:highlight w:val="none"/>
          <w:lang w:val="en-US" w:eastAsia="zh-CN" w:bidi="ar-SA"/>
        </w:rPr>
        <w:t>》，提出</w:t>
      </w:r>
      <w:r>
        <w:rPr>
          <w:rFonts w:hint="default" w:ascii="仿宋_GB2312" w:hAnsi="仿宋_GB2312" w:eastAsia="仿宋_GB2312" w:cs="仿宋_GB2312"/>
          <w:b w:val="0"/>
          <w:color w:val="auto"/>
          <w:kern w:val="2"/>
          <w:sz w:val="32"/>
          <w:szCs w:val="32"/>
          <w:highlight w:val="none"/>
          <w:lang w:val="en-US" w:eastAsia="zh-CN" w:bidi="ar-SA"/>
        </w:rPr>
        <w:t>人才引进应当突出经济社会发展需求导向，坚持精准施策、靶向引才，注重柔性引才用才</w:t>
      </w:r>
      <w:r>
        <w:rPr>
          <w:rFonts w:hint="eastAsia" w:ascii="仿宋_GB2312" w:hAnsi="仿宋_GB2312" w:eastAsia="仿宋_GB2312" w:cs="仿宋_GB2312"/>
          <w:b w:val="0"/>
          <w:color w:val="auto"/>
          <w:kern w:val="2"/>
          <w:sz w:val="32"/>
          <w:szCs w:val="32"/>
          <w:highlight w:val="none"/>
          <w:lang w:val="en-US" w:eastAsia="zh-CN" w:bidi="ar-SA"/>
        </w:rPr>
        <w:t>，促进人才资源合理流动和有效配置。2022年6月，光明区制定“人才高地计划”相关政策，将引进优秀毕业生一次性生活补助</w:t>
      </w:r>
      <w:r>
        <w:rPr>
          <w:rFonts w:hint="eastAsia" w:ascii="仿宋_GB2312" w:hAnsi="仿宋_GB2312" w:eastAsia="仿宋_GB2312" w:cs="仿宋_GB2312"/>
          <w:color w:val="auto"/>
          <w:sz w:val="32"/>
          <w:szCs w:val="32"/>
          <w:lang w:eastAsia="zh-CN"/>
        </w:rPr>
        <w:t>相关内容纳入政策体系。因此，</w:t>
      </w:r>
      <w:r>
        <w:rPr>
          <w:rFonts w:hint="eastAsia" w:ascii="仿宋_GB2312" w:hAnsi="仿宋_GB2312" w:eastAsia="仿宋_GB2312" w:cs="仿宋_GB2312"/>
          <w:color w:val="auto"/>
          <w:sz w:val="32"/>
          <w:szCs w:val="32"/>
          <w:highlight w:val="none"/>
          <w:lang w:val="en-US" w:eastAsia="zh-CN"/>
        </w:rPr>
        <w:t>光明</w:t>
      </w:r>
      <w:r>
        <w:rPr>
          <w:rFonts w:hint="eastAsia" w:ascii="仿宋_GB2312" w:hAnsi="仿宋_GB2312" w:eastAsia="仿宋_GB2312" w:cs="仿宋_GB2312"/>
          <w:color w:val="auto"/>
          <w:sz w:val="32"/>
          <w:szCs w:val="32"/>
          <w:lang w:eastAsia="zh-CN"/>
        </w:rPr>
        <w:t>区人力资源</w:t>
      </w:r>
      <w:r>
        <w:rPr>
          <w:rFonts w:hint="eastAsia" w:ascii="仿宋_GB2312" w:hAnsi="仿宋_GB2312" w:eastAsia="仿宋_GB2312" w:cs="仿宋_GB2312"/>
          <w:b w:val="0"/>
          <w:color w:val="auto"/>
          <w:kern w:val="2"/>
          <w:sz w:val="32"/>
          <w:szCs w:val="32"/>
          <w:highlight w:val="none"/>
          <w:lang w:val="en-US" w:eastAsia="zh-CN" w:bidi="ar-SA"/>
        </w:rPr>
        <w:t>局根据深圳市文件精神及光明区统一部署，结合光明科学城建设发展需要及光明区实际，草拟了《深圳市光明区人力资源局关于引进优秀毕业生一次性生活补助的实施细则（试行）》</w:t>
      </w:r>
      <w:r>
        <w:rPr>
          <w:rFonts w:hint="eastAsia" w:ascii="仿宋_GB2312" w:hAnsi="仿宋_GB2312" w:eastAsia="仿宋_GB2312" w:cs="仿宋_GB2312"/>
          <w:color w:val="auto"/>
          <w:sz w:val="32"/>
          <w:szCs w:val="32"/>
          <w:lang w:eastAsia="zh-CN"/>
        </w:rPr>
        <w:t>（以下简称《实施细则》）</w:t>
      </w:r>
      <w:r>
        <w:rPr>
          <w:rFonts w:hint="eastAsia" w:ascii="仿宋_GB2312" w:hAnsi="仿宋_GB2312" w:eastAsia="仿宋_GB2312" w:cs="仿宋_GB2312"/>
          <w:b w:val="0"/>
          <w:color w:val="auto"/>
          <w:kern w:val="2"/>
          <w:sz w:val="32"/>
          <w:szCs w:val="32"/>
          <w:highlight w:val="none"/>
          <w:lang w:val="en-US" w:eastAsia="zh-CN" w:bidi="ar-SA"/>
        </w:rPr>
        <w:t>。</w:t>
      </w:r>
    </w:p>
    <w:p>
      <w:pPr>
        <w:keepNext w:val="0"/>
        <w:keepLines w:val="0"/>
        <w:pageBreakBefore w:val="0"/>
        <w:widowControl w:val="0"/>
        <w:kinsoku/>
        <w:wordWrap/>
        <w:overflowPunct w:val="0"/>
        <w:topLinePunct w:val="0"/>
        <w:autoSpaceDE/>
        <w:autoSpaceDN/>
        <w:bidi w:val="0"/>
        <w:adjustRightInd/>
        <w:snapToGrid w:val="0"/>
        <w:spacing w:beforeAutospacing="0" w:afterAutospacing="0" w:line="560" w:lineRule="exact"/>
        <w:ind w:firstLine="640" w:firstLineChars="200"/>
        <w:textAlignment w:val="auto"/>
        <w:rPr>
          <w:rFonts w:hint="eastAsia" w:ascii="黑体" w:hAnsi="黑体" w:eastAsia="黑体"/>
          <w:color w:val="auto"/>
          <w:sz w:val="32"/>
          <w:szCs w:val="32"/>
          <w:lang w:val="en-US" w:eastAsia="zh-CN"/>
        </w:rPr>
      </w:pPr>
      <w:r>
        <w:rPr>
          <w:rFonts w:hint="eastAsia" w:ascii="黑体" w:hAnsi="黑体" w:eastAsia="黑体"/>
          <w:color w:val="auto"/>
          <w:sz w:val="32"/>
          <w:szCs w:val="32"/>
          <w:lang w:val="en-US" w:eastAsia="zh-CN"/>
        </w:rPr>
        <w:t>二、起草必要性</w:t>
      </w:r>
      <w:bookmarkStart w:id="0" w:name="_GoBack"/>
      <w:bookmarkEnd w:id="0"/>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根据《</w:t>
      </w:r>
      <w:r>
        <w:rPr>
          <w:rFonts w:hint="default" w:ascii="仿宋_GB2312" w:hAnsi="仿宋_GB2312" w:eastAsia="仿宋_GB2312" w:cs="仿宋_GB2312"/>
          <w:b w:val="0"/>
          <w:color w:val="auto"/>
          <w:kern w:val="2"/>
          <w:sz w:val="32"/>
          <w:szCs w:val="32"/>
          <w:highlight w:val="none"/>
          <w:lang w:val="en-US" w:eastAsia="zh-CN" w:bidi="ar-SA"/>
        </w:rPr>
        <w:t>深圳市第七次全国人口普查公报</w:t>
      </w:r>
      <w:r>
        <w:rPr>
          <w:rFonts w:hint="eastAsia" w:ascii="仿宋_GB2312" w:hAnsi="仿宋_GB2312" w:eastAsia="仿宋_GB2312" w:cs="仿宋_GB2312"/>
          <w:b w:val="0"/>
          <w:color w:val="auto"/>
          <w:kern w:val="2"/>
          <w:sz w:val="32"/>
          <w:szCs w:val="32"/>
          <w:highlight w:val="none"/>
          <w:lang w:val="en-US" w:eastAsia="zh-CN" w:bidi="ar-SA"/>
        </w:rPr>
        <w:t>》，光明区15岁及以上人口的平均受教育年限为10.71年，低于全市11.86年的平均水平；光明区每10万人中拥有大学（大专及以上）文化程度的人口为16106人，低于全市的28849人的水平，相较于南山区（46175人）、福田区（40507人）等区差距较大，光明区的平均受教育程度有待提高。同时，光明区正在大力建设光明科学城，打造原始创新策源地、科研经济先行地和创新人才集聚地，亟需引进优秀人才，为光明区建设发展提供人力保障。</w:t>
      </w:r>
    </w:p>
    <w:p>
      <w:pPr>
        <w:pStyle w:val="2"/>
        <w:keepNext w:val="0"/>
        <w:keepLines w:val="0"/>
        <w:pageBreakBefore w:val="0"/>
        <w:widowControl w:val="0"/>
        <w:numPr>
          <w:ilvl w:val="0"/>
          <w:numId w:val="0"/>
        </w:numPr>
        <w:kinsoku/>
        <w:wordWrap/>
        <w:topLinePunct w:val="0"/>
        <w:autoSpaceDE/>
        <w:autoSpaceDN/>
        <w:bidi w:val="0"/>
        <w:adjustRightInd/>
        <w:spacing w:beforeAutospacing="0" w:afterAutospacing="0" w:line="560" w:lineRule="exact"/>
        <w:ind w:firstLine="640" w:firstLineChars="200"/>
        <w:textAlignment w:val="auto"/>
        <w:outlineLvl w:val="0"/>
        <w:rPr>
          <w:rFonts w:hint="eastAsia" w:ascii="黑体" w:hAnsi="黑体" w:eastAsia="黑体" w:cstheme="minorBidi"/>
          <w:b w:val="0"/>
          <w:color w:val="auto"/>
          <w:kern w:val="2"/>
          <w:sz w:val="32"/>
          <w:szCs w:val="32"/>
          <w:lang w:val="en-US" w:eastAsia="zh-CN" w:bidi="ar-SA"/>
        </w:rPr>
      </w:pPr>
      <w:r>
        <w:rPr>
          <w:rFonts w:hint="eastAsia" w:ascii="黑体" w:hAnsi="黑体" w:eastAsia="黑体" w:cstheme="minorBidi"/>
          <w:b w:val="0"/>
          <w:color w:val="auto"/>
          <w:kern w:val="2"/>
          <w:sz w:val="32"/>
          <w:szCs w:val="32"/>
          <w:lang w:val="en-US" w:eastAsia="zh-CN" w:bidi="ar-SA"/>
        </w:rPr>
        <w:t>三、主要内容</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《实施细则》共十五条内容，其中：</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2" w:firstLineChars="200"/>
        <w:jc w:val="both"/>
        <w:textAlignment w:val="auto"/>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第一条为总则。</w:t>
      </w:r>
      <w:r>
        <w:rPr>
          <w:rFonts w:hint="eastAsia" w:ascii="仿宋_GB2312" w:hAnsi="仿宋_GB2312" w:eastAsia="仿宋_GB2312" w:cs="仿宋_GB2312"/>
          <w:b w:val="0"/>
          <w:color w:val="auto"/>
          <w:kern w:val="2"/>
          <w:sz w:val="32"/>
          <w:szCs w:val="32"/>
          <w:highlight w:val="none"/>
          <w:lang w:val="en-US" w:eastAsia="zh-CN" w:bidi="ar-SA"/>
        </w:rPr>
        <w:t>解释了光明区引进优秀毕业生一次性生活补助起草依据和目的。</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2" w:firstLineChars="200"/>
        <w:jc w:val="both"/>
        <w:textAlignment w:val="auto"/>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第二至四条为名词解释。</w:t>
      </w:r>
      <w:r>
        <w:rPr>
          <w:rFonts w:hint="eastAsia" w:ascii="仿宋_GB2312" w:hAnsi="仿宋_GB2312" w:eastAsia="仿宋_GB2312" w:cs="仿宋_GB2312"/>
          <w:b w:val="0"/>
          <w:color w:val="auto"/>
          <w:kern w:val="2"/>
          <w:sz w:val="32"/>
          <w:szCs w:val="32"/>
          <w:highlight w:val="none"/>
          <w:lang w:val="en-US" w:eastAsia="zh-CN" w:bidi="ar-SA"/>
        </w:rPr>
        <w:t>明确了科研机构、企业、国内外重点高校、优秀毕业生奖学金的含义及范围。</w:t>
      </w:r>
    </w:p>
    <w:p>
      <w:pPr>
        <w:keepNext w:val="0"/>
        <w:keepLines w:val="0"/>
        <w:pageBreakBefore w:val="0"/>
        <w:widowControl w:val="0"/>
        <w:kinsoku/>
        <w:wordWrap/>
        <w:topLinePunct w:val="0"/>
        <w:autoSpaceDE/>
        <w:autoSpaceDN/>
        <w:bidi w:val="0"/>
        <w:adjustRightInd/>
        <w:spacing w:beforeAutospacing="0" w:afterAutospacing="0" w:line="560" w:lineRule="exact"/>
        <w:ind w:firstLine="640"/>
        <w:textAlignment w:val="auto"/>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第五条为补贴对象。</w:t>
      </w:r>
      <w:r>
        <w:rPr>
          <w:rFonts w:hint="eastAsia" w:ascii="仿宋_GB2312" w:hAnsi="仿宋_GB2312" w:eastAsia="仿宋_GB2312" w:cs="仿宋_GB2312"/>
          <w:b w:val="0"/>
          <w:color w:val="auto"/>
          <w:kern w:val="2"/>
          <w:sz w:val="32"/>
          <w:szCs w:val="32"/>
          <w:highlight w:val="none"/>
          <w:lang w:val="en-US" w:eastAsia="zh-CN" w:bidi="ar-SA"/>
        </w:rPr>
        <w:t>明确了光明区引进优秀毕业生一次性生活补助的享受对象为符合一定条件的全日制本科及以上学历高校优秀毕业生。</w:t>
      </w:r>
    </w:p>
    <w:p>
      <w:pPr>
        <w:keepNext w:val="0"/>
        <w:keepLines w:val="0"/>
        <w:pageBreakBefore w:val="0"/>
        <w:widowControl w:val="0"/>
        <w:kinsoku/>
        <w:wordWrap/>
        <w:topLinePunct w:val="0"/>
        <w:autoSpaceDE/>
        <w:autoSpaceDN/>
        <w:bidi w:val="0"/>
        <w:adjustRightInd/>
        <w:spacing w:beforeAutospacing="0" w:afterAutospacing="0" w:line="560" w:lineRule="exact"/>
        <w:ind w:firstLine="640"/>
        <w:textAlignment w:val="auto"/>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第六条为补贴标准。</w:t>
      </w:r>
      <w:r>
        <w:rPr>
          <w:rFonts w:hint="eastAsia" w:ascii="仿宋_GB2312" w:hAnsi="仿宋_GB2312" w:eastAsia="仿宋_GB2312" w:cs="仿宋_GB2312"/>
          <w:color w:val="auto"/>
          <w:sz w:val="32"/>
          <w:szCs w:val="32"/>
          <w:highlight w:val="none"/>
          <w:lang w:val="en-US" w:eastAsia="zh-CN"/>
        </w:rPr>
        <w:t>对留光明的高校毕业生按所获得</w:t>
      </w:r>
      <w:r>
        <w:rPr>
          <w:rFonts w:hint="default" w:ascii="仿宋_GB2312" w:hAnsi="仿宋_GB2312" w:eastAsia="仿宋_GB2312" w:cs="仿宋_GB2312"/>
          <w:color w:val="auto"/>
          <w:sz w:val="32"/>
          <w:szCs w:val="32"/>
          <w:highlight w:val="none"/>
          <w:lang w:val="en" w:eastAsia="zh-CN"/>
        </w:rPr>
        <w:t>优秀毕业生</w:t>
      </w:r>
      <w:r>
        <w:rPr>
          <w:rFonts w:hint="eastAsia" w:ascii="仿宋_GB2312" w:hAnsi="仿宋_GB2312" w:eastAsia="仿宋_GB2312" w:cs="仿宋_GB2312"/>
          <w:color w:val="auto"/>
          <w:sz w:val="32"/>
          <w:szCs w:val="32"/>
          <w:highlight w:val="none"/>
          <w:lang w:val="en-US" w:eastAsia="zh-CN"/>
        </w:rPr>
        <w:t>奖学金1:1</w:t>
      </w:r>
      <w:r>
        <w:rPr>
          <w:rFonts w:hint="eastAsia" w:ascii="仿宋_GB2312" w:hAnsi="仿宋_GB2312" w:eastAsia="仿宋_GB2312" w:cs="仿宋_GB2312"/>
          <w:b w:val="0"/>
          <w:color w:val="auto"/>
          <w:kern w:val="2"/>
          <w:sz w:val="32"/>
          <w:szCs w:val="32"/>
          <w:highlight w:val="none"/>
          <w:lang w:val="en-US" w:eastAsia="zh-CN" w:bidi="ar-SA"/>
        </w:rPr>
        <w:t>的比例给予每人最高10万元的</w:t>
      </w:r>
      <w:r>
        <w:rPr>
          <w:rFonts w:hint="eastAsia" w:ascii="仿宋_GB2312" w:hAnsi="仿宋_GB2312" w:eastAsia="仿宋_GB2312" w:cs="仿宋_GB2312"/>
          <w:color w:val="auto"/>
          <w:sz w:val="32"/>
          <w:szCs w:val="32"/>
          <w:highlight w:val="none"/>
          <w:lang w:val="en-US" w:eastAsia="zh-CN"/>
        </w:rPr>
        <w:t>一次性生活补助。</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2" w:firstLineChars="200"/>
        <w:jc w:val="both"/>
        <w:textAlignment w:val="auto"/>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第七条为申请时限。</w:t>
      </w:r>
      <w:r>
        <w:rPr>
          <w:rFonts w:hint="eastAsia" w:ascii="仿宋_GB2312" w:hAnsi="仿宋_GB2312" w:eastAsia="仿宋_GB2312" w:cs="仿宋_GB2312"/>
          <w:b w:val="0"/>
          <w:color w:val="auto"/>
          <w:kern w:val="2"/>
          <w:sz w:val="32"/>
          <w:szCs w:val="32"/>
          <w:highlight w:val="none"/>
          <w:lang w:val="en-US" w:eastAsia="zh-CN" w:bidi="ar-SA"/>
        </w:rPr>
        <w:t>申请对象须于满足</w:t>
      </w:r>
      <w:r>
        <w:rPr>
          <w:rFonts w:hint="eastAsia" w:ascii="仿宋_GB2312" w:hAnsi="仿宋_GB2312" w:eastAsia="仿宋_GB2312" w:cs="仿宋_GB2312"/>
          <w:color w:val="auto"/>
          <w:sz w:val="32"/>
          <w:szCs w:val="32"/>
          <w:highlight w:val="none"/>
          <w:lang w:val="en-US" w:eastAsia="zh-CN"/>
        </w:rPr>
        <w:t>申请条件后，且于毕业证书签发两年内</w:t>
      </w:r>
      <w:r>
        <w:rPr>
          <w:rFonts w:hint="eastAsia" w:ascii="仿宋_GB2312" w:hAnsi="仿宋_GB2312" w:eastAsia="仿宋_GB2312" w:cs="仿宋_GB2312"/>
          <w:b w:val="0"/>
          <w:color w:val="auto"/>
          <w:kern w:val="2"/>
          <w:sz w:val="32"/>
          <w:szCs w:val="32"/>
          <w:highlight w:val="none"/>
          <w:lang w:val="en-US" w:eastAsia="zh-CN" w:bidi="ar-SA"/>
        </w:rPr>
        <w:t>提出申请，申请人不重复享受该补贴。</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2" w:firstLineChars="200"/>
        <w:jc w:val="both"/>
        <w:textAlignment w:val="auto"/>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第八条为申请材料。</w:t>
      </w:r>
      <w:r>
        <w:rPr>
          <w:rFonts w:hint="eastAsia" w:ascii="仿宋_GB2312" w:hAnsi="仿宋_GB2312" w:eastAsia="仿宋_GB2312" w:cs="仿宋_GB2312"/>
          <w:b w:val="0"/>
          <w:color w:val="auto"/>
          <w:kern w:val="2"/>
          <w:sz w:val="32"/>
          <w:szCs w:val="32"/>
          <w:highlight w:val="none"/>
          <w:lang w:val="en-US" w:eastAsia="zh-CN" w:bidi="ar-SA"/>
        </w:rPr>
        <w:t>明确了申请补贴需提交的材料。</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2" w:firstLineChars="200"/>
        <w:jc w:val="both"/>
        <w:textAlignment w:val="auto"/>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第九条为申请程序。</w:t>
      </w:r>
      <w:r>
        <w:rPr>
          <w:rFonts w:hint="eastAsia" w:ascii="仿宋_GB2312" w:hAnsi="仿宋_GB2312" w:eastAsia="仿宋_GB2312" w:cs="仿宋_GB2312"/>
          <w:b w:val="0"/>
          <w:color w:val="auto"/>
          <w:kern w:val="2"/>
          <w:sz w:val="32"/>
          <w:szCs w:val="32"/>
          <w:highlight w:val="none"/>
          <w:lang w:val="en-US" w:eastAsia="zh-CN" w:bidi="ar-SA"/>
        </w:rPr>
        <w:t>包括申请、受理、审核、公示、发放等环节。</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2" w:firstLineChars="200"/>
        <w:jc w:val="both"/>
        <w:textAlignment w:val="auto"/>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第十至十二条为职责分工。</w:t>
      </w:r>
      <w:r>
        <w:rPr>
          <w:rFonts w:hint="eastAsia" w:ascii="仿宋_GB2312" w:hAnsi="仿宋_GB2312" w:eastAsia="仿宋_GB2312" w:cs="仿宋_GB2312"/>
          <w:b w:val="0"/>
          <w:color w:val="auto"/>
          <w:kern w:val="2"/>
          <w:sz w:val="32"/>
          <w:szCs w:val="32"/>
          <w:highlight w:val="none"/>
          <w:lang w:val="en-US" w:eastAsia="zh-CN" w:bidi="ar-SA"/>
        </w:rPr>
        <w:t>明确了区人力资源部门、区财政部门及各街道的职责内容。</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2" w:firstLineChars="200"/>
        <w:jc w:val="both"/>
        <w:textAlignment w:val="auto"/>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第十三至十五条为附则。</w:t>
      </w:r>
      <w:r>
        <w:rPr>
          <w:rFonts w:hint="eastAsia" w:ascii="仿宋_GB2312" w:hAnsi="仿宋_GB2312" w:eastAsia="仿宋_GB2312" w:cs="仿宋_GB2312"/>
          <w:b w:val="0"/>
          <w:color w:val="auto"/>
          <w:kern w:val="2"/>
          <w:sz w:val="32"/>
          <w:szCs w:val="32"/>
          <w:highlight w:val="none"/>
          <w:lang w:val="en-US" w:eastAsia="zh-CN" w:bidi="ar-SA"/>
        </w:rPr>
        <w:t>补充了对骗补等行为采取的措施、《实施细则》解释权的归属以及实施期限。</w:t>
      </w:r>
    </w:p>
    <w:p>
      <w:pPr>
        <w:pStyle w:val="2"/>
        <w:keepNext w:val="0"/>
        <w:keepLines w:val="0"/>
        <w:pageBreakBefore w:val="0"/>
        <w:widowControl w:val="0"/>
        <w:numPr>
          <w:ilvl w:val="0"/>
          <w:numId w:val="0"/>
        </w:numPr>
        <w:kinsoku/>
        <w:wordWrap/>
        <w:topLinePunct w:val="0"/>
        <w:autoSpaceDE/>
        <w:autoSpaceDN/>
        <w:bidi w:val="0"/>
        <w:adjustRightInd/>
        <w:spacing w:beforeAutospacing="0" w:afterAutospacing="0" w:line="560" w:lineRule="exact"/>
        <w:ind w:firstLine="640" w:firstLineChars="200"/>
        <w:textAlignment w:val="auto"/>
        <w:outlineLvl w:val="0"/>
        <w:rPr>
          <w:rFonts w:hint="eastAsia" w:ascii="黑体" w:hAnsi="黑体" w:eastAsia="黑体" w:cstheme="minorBidi"/>
          <w:b w:val="0"/>
          <w:color w:val="auto"/>
          <w:kern w:val="2"/>
          <w:sz w:val="32"/>
          <w:szCs w:val="32"/>
          <w:lang w:val="en-US" w:eastAsia="zh-CN" w:bidi="ar-SA"/>
        </w:rPr>
      </w:pPr>
      <w:r>
        <w:rPr>
          <w:rFonts w:hint="eastAsia" w:ascii="黑体" w:hAnsi="黑体" w:eastAsia="黑体" w:cstheme="minorBidi"/>
          <w:b w:val="0"/>
          <w:color w:val="auto"/>
          <w:kern w:val="2"/>
          <w:sz w:val="32"/>
          <w:szCs w:val="32"/>
          <w:lang w:val="en-US" w:eastAsia="zh-CN" w:bidi="ar-SA"/>
        </w:rPr>
        <w:t>四、征求意见情况</w:t>
      </w:r>
    </w:p>
    <w:p>
      <w:pPr>
        <w:keepNext w:val="0"/>
        <w:keepLines w:val="0"/>
        <w:pageBreakBefore w:val="0"/>
        <w:numPr>
          <w:ilvl w:val="0"/>
          <w:numId w:val="0"/>
        </w:numPr>
        <w:kinsoku/>
        <w:wordWrap/>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 w:eastAsia="zh-CN"/>
        </w:rPr>
        <w:t>（一）征求各部门意见。</w:t>
      </w:r>
      <w:r>
        <w:rPr>
          <w:rFonts w:hint="eastAsia" w:ascii="仿宋_GB2312" w:hAnsi="仿宋_GB2312" w:eastAsia="仿宋_GB2312" w:cs="仿宋_GB2312"/>
          <w:color w:val="auto"/>
          <w:sz w:val="32"/>
          <w:szCs w:val="32"/>
          <w:lang w:val="en-US" w:eastAsia="zh-CN"/>
        </w:rPr>
        <w:t>2022年11月24日，征求了区人才工作局、区司法局、区财政局及各街道意见。区财政局反馈意见1条，已采纳。</w:t>
      </w:r>
    </w:p>
    <w:p>
      <w:pPr>
        <w:pStyle w:val="2"/>
        <w:keepNext w:val="0"/>
        <w:keepLines w:val="0"/>
        <w:pageBreakBefore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b w:val="0"/>
          <w:bCs w:val="0"/>
          <w:i w:val="0"/>
          <w:caps w:val="0"/>
          <w:color w:val="auto"/>
          <w:spacing w:val="0"/>
          <w:kern w:val="0"/>
          <w:sz w:val="32"/>
          <w:szCs w:val="32"/>
          <w:shd w:val="clear" w:color="auto" w:fill="FFFFFF"/>
          <w:lang w:val="en-US" w:eastAsia="zh-CN" w:bidi="ar"/>
        </w:rPr>
      </w:pPr>
      <w:r>
        <w:rPr>
          <w:rFonts w:hint="eastAsia" w:ascii="楷体_GB2312" w:hAnsi="楷体_GB2312" w:eastAsia="楷体_GB2312" w:cs="楷体_GB2312"/>
          <w:b w:val="0"/>
          <w:bCs w:val="0"/>
          <w:i w:val="0"/>
          <w:caps w:val="0"/>
          <w:color w:val="auto"/>
          <w:spacing w:val="0"/>
          <w:kern w:val="0"/>
          <w:sz w:val="32"/>
          <w:szCs w:val="32"/>
          <w:shd w:val="clear" w:color="auto" w:fill="FFFFFF"/>
          <w:lang w:val="en-US" w:eastAsia="zh-CN" w:bidi="ar"/>
        </w:rPr>
        <w:t>（二）征求社会公众意见。</w:t>
      </w:r>
      <w:r>
        <w:rPr>
          <w:rFonts w:hint="eastAsia" w:ascii="仿宋_GB2312" w:hAnsi="仿宋_GB2312" w:eastAsia="仿宋_GB2312" w:cs="仿宋_GB2312"/>
          <w:b w:val="0"/>
          <w:bCs w:val="0"/>
          <w:color w:val="auto"/>
          <w:sz w:val="32"/>
          <w:szCs w:val="32"/>
          <w:lang w:val="en-US" w:eastAsia="zh-CN"/>
        </w:rPr>
        <w:t>2023年1月18日至2月6日</w:t>
      </w:r>
      <w:r>
        <w:rPr>
          <w:rFonts w:hint="eastAsia" w:ascii="仿宋_GB2312" w:hAnsi="仿宋_GB2312" w:eastAsia="仿宋_GB2312" w:cs="仿宋_GB2312"/>
          <w:b w:val="0"/>
          <w:bCs w:val="0"/>
          <w:i w:val="0"/>
          <w:caps w:val="0"/>
          <w:color w:val="auto"/>
          <w:spacing w:val="0"/>
          <w:kern w:val="0"/>
          <w:sz w:val="32"/>
          <w:szCs w:val="32"/>
          <w:shd w:val="clear" w:color="auto" w:fill="FFFFFF"/>
          <w:lang w:val="en-US" w:eastAsia="zh-CN" w:bidi="ar"/>
        </w:rPr>
        <w:t>，通过光明区政府在线网站公开征求社会公众意见，收到意见建议2条，均已采纳。</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仿宋_GB2312" w:hAnsi="仿宋_GB2312" w:eastAsia="仿宋_GB2312" w:cs="仿宋_GB2312"/>
          <w:b w:val="0"/>
          <w:bCs w:val="0"/>
          <w:i w:val="0"/>
          <w:caps w:val="0"/>
          <w:color w:val="auto"/>
          <w:spacing w:val="0"/>
          <w:kern w:val="0"/>
          <w:sz w:val="32"/>
          <w:szCs w:val="32"/>
          <w:shd w:val="clear" w:color="auto" w:fill="FFFFFF"/>
          <w:lang w:val="en-US" w:eastAsia="zh-CN" w:bidi="ar"/>
        </w:rPr>
      </w:pPr>
      <w:r>
        <w:rPr>
          <w:rFonts w:hint="eastAsia" w:ascii="楷体_GB2312" w:hAnsi="楷体_GB2312" w:eastAsia="楷体_GB2312" w:cs="楷体_GB2312"/>
          <w:b w:val="0"/>
          <w:bCs w:val="0"/>
          <w:i w:val="0"/>
          <w:caps w:val="0"/>
          <w:color w:val="auto"/>
          <w:spacing w:val="0"/>
          <w:kern w:val="0"/>
          <w:sz w:val="32"/>
          <w:szCs w:val="32"/>
          <w:shd w:val="clear" w:color="auto" w:fill="FFFFFF"/>
          <w:lang w:val="en-US" w:eastAsia="zh-CN" w:bidi="ar"/>
        </w:rPr>
        <w:t>（三）召开征求意见座谈会。</w:t>
      </w:r>
      <w:r>
        <w:rPr>
          <w:rFonts w:hint="eastAsia" w:ascii="仿宋_GB2312" w:hAnsi="仿宋_GB2312" w:eastAsia="仿宋_GB2312" w:cs="仿宋_GB2312"/>
          <w:b w:val="0"/>
          <w:bCs w:val="0"/>
          <w:color w:val="auto"/>
          <w:sz w:val="32"/>
          <w:szCs w:val="32"/>
          <w:lang w:val="en-US" w:eastAsia="zh-CN"/>
        </w:rPr>
        <w:t>2023</w:t>
      </w:r>
      <w:r>
        <w:rPr>
          <w:rFonts w:hint="eastAsia" w:ascii="仿宋_GB2312" w:hAnsi="仿宋_GB2312" w:eastAsia="仿宋_GB2312" w:cs="仿宋_GB2312"/>
          <w:b w:val="0"/>
          <w:bCs w:val="0"/>
          <w:i w:val="0"/>
          <w:caps w:val="0"/>
          <w:color w:val="auto"/>
          <w:spacing w:val="0"/>
          <w:kern w:val="0"/>
          <w:sz w:val="32"/>
          <w:szCs w:val="32"/>
          <w:shd w:val="clear" w:color="auto" w:fill="FFFFFF"/>
          <w:lang w:val="en-US" w:eastAsia="zh-CN" w:bidi="ar"/>
        </w:rPr>
        <w:t>年2月16日，召开了征求意见座谈会，深圳市贝特瑞新能源材料股份有限公司、深圳市飞荣达科技股份有限公司、电连技术股份有限公司、安费诺东亚电子科技（深圳）有限公司等</w:t>
      </w:r>
      <w:r>
        <w:rPr>
          <w:rFonts w:hint="default" w:ascii="仿宋_GB2312" w:hAnsi="仿宋_GB2312" w:eastAsia="仿宋_GB2312" w:cs="仿宋_GB2312"/>
          <w:b w:val="0"/>
          <w:bCs w:val="0"/>
          <w:i w:val="0"/>
          <w:caps w:val="0"/>
          <w:color w:val="auto"/>
          <w:spacing w:val="0"/>
          <w:kern w:val="0"/>
          <w:sz w:val="32"/>
          <w:szCs w:val="32"/>
          <w:shd w:val="clear" w:color="auto" w:fill="FFFFFF"/>
          <w:lang w:val="en" w:eastAsia="zh-CN" w:bidi="ar"/>
        </w:rPr>
        <w:t>7</w:t>
      </w:r>
      <w:r>
        <w:rPr>
          <w:rFonts w:hint="eastAsia" w:ascii="仿宋_GB2312" w:hAnsi="仿宋_GB2312" w:eastAsia="仿宋_GB2312" w:cs="仿宋_GB2312"/>
          <w:b w:val="0"/>
          <w:bCs w:val="0"/>
          <w:i w:val="0"/>
          <w:caps w:val="0"/>
          <w:color w:val="auto"/>
          <w:spacing w:val="0"/>
          <w:kern w:val="0"/>
          <w:sz w:val="32"/>
          <w:szCs w:val="32"/>
          <w:shd w:val="clear" w:color="auto" w:fill="FFFFFF"/>
          <w:lang w:val="en" w:eastAsia="zh-CN" w:bidi="ar"/>
        </w:rPr>
        <w:t>家</w:t>
      </w:r>
      <w:r>
        <w:rPr>
          <w:rFonts w:hint="eastAsia" w:ascii="仿宋_GB2312" w:hAnsi="仿宋_GB2312" w:eastAsia="仿宋_GB2312" w:cs="仿宋_GB2312"/>
          <w:b w:val="0"/>
          <w:bCs w:val="0"/>
          <w:i w:val="0"/>
          <w:caps w:val="0"/>
          <w:color w:val="auto"/>
          <w:spacing w:val="0"/>
          <w:kern w:val="0"/>
          <w:sz w:val="32"/>
          <w:szCs w:val="32"/>
          <w:shd w:val="clear" w:color="auto" w:fill="FFFFFF"/>
          <w:lang w:val="en-US" w:eastAsia="zh-CN" w:bidi="ar"/>
        </w:rPr>
        <w:t>企业代表及4名学生代表参加并就《实施细则》进行了研讨，提出意见建议2条，均已采纳。</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楷体_GB2312" w:hAnsi="楷体_GB2312" w:eastAsia="楷体_GB2312" w:cs="楷体_GB2312"/>
          <w:i w:val="0"/>
          <w:caps w:val="0"/>
          <w:color w:val="auto"/>
          <w:spacing w:val="0"/>
          <w:kern w:val="0"/>
          <w:sz w:val="32"/>
          <w:szCs w:val="32"/>
          <w:shd w:val="clear" w:color="auto" w:fill="FFFFFF"/>
          <w:lang w:val="en-US" w:eastAsia="zh-CN" w:bidi="ar"/>
        </w:rPr>
        <w:t>（四）征求法律顾问意见。</w:t>
      </w:r>
      <w:r>
        <w:rPr>
          <w:rFonts w:hint="eastAsia" w:ascii="仿宋_GB2312" w:hAnsi="仿宋_GB2312" w:eastAsia="仿宋_GB2312" w:cs="仿宋_GB2312"/>
          <w:b w:val="0"/>
          <w:bCs w:val="0"/>
          <w:i w:val="0"/>
          <w:caps w:val="0"/>
          <w:color w:val="auto"/>
          <w:spacing w:val="0"/>
          <w:kern w:val="0"/>
          <w:sz w:val="32"/>
          <w:szCs w:val="32"/>
          <w:shd w:val="clear" w:color="auto" w:fill="FFFFFF"/>
          <w:lang w:val="en-US" w:eastAsia="zh-CN" w:bidi="ar"/>
        </w:rPr>
        <w:t>2023年2月23日，征求</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了</w:t>
      </w:r>
      <w:r>
        <w:rPr>
          <w:rFonts w:hint="eastAsia" w:ascii="仿宋_GB2312" w:hAnsi="仿宋_GB2312" w:eastAsia="仿宋_GB2312" w:cs="仿宋_GB2312"/>
          <w:color w:val="auto"/>
          <w:sz w:val="32"/>
          <w:szCs w:val="32"/>
          <w:highlight w:val="none"/>
          <w:lang w:val="en-US" w:eastAsia="zh-CN"/>
        </w:rPr>
        <w:t>光明</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区人力资源局法律顾问意见，其认为《实施细则》是规范性文件，且内容不违反现有法律法规强制性规定。</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楷体_GB2312" w:hAnsi="楷体_GB2312" w:eastAsia="楷体_GB2312" w:cs="楷体_GB2312"/>
          <w:i w:val="0"/>
          <w:caps w:val="0"/>
          <w:color w:val="auto"/>
          <w:spacing w:val="0"/>
          <w:kern w:val="0"/>
          <w:sz w:val="32"/>
          <w:szCs w:val="32"/>
          <w:shd w:val="clear" w:color="auto" w:fill="FFFFFF"/>
          <w:lang w:val="en-US" w:eastAsia="zh-CN" w:bidi="ar"/>
        </w:rPr>
        <w:t>（五）征求区司法局意见。</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2023年3月10日，征求了区司法局意见，其认为《实施细则》属于行政规范性文件，并提出3条意见建议，均已采纳。</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楷体_GB2312" w:hAnsi="楷体_GB2312" w:eastAsia="楷体_GB2312" w:cs="楷体_GB2312"/>
          <w:i w:val="0"/>
          <w:caps w:val="0"/>
          <w:color w:val="auto"/>
          <w:spacing w:val="0"/>
          <w:kern w:val="0"/>
          <w:sz w:val="32"/>
          <w:szCs w:val="32"/>
          <w:shd w:val="clear" w:color="auto" w:fill="FFFFFF"/>
          <w:lang w:val="en-US" w:eastAsia="zh-CN" w:bidi="ar"/>
        </w:rPr>
        <w:t>（六）第二次征求区司法局意见。</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2023年4月17日，第二次征求了区司法局意见，其认为《实施细则》属于行政规范性文件，暂未发现《实施细则》存在违反法律、行政法规强制性规定的情形。</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黑体" w:hAnsi="黑体" w:eastAsia="黑体" w:cs="黑体"/>
          <w:b w:val="0"/>
          <w:color w:val="auto"/>
          <w:kern w:val="2"/>
          <w:sz w:val="32"/>
          <w:szCs w:val="32"/>
          <w:lang w:val="en-US" w:eastAsia="zh-CN" w:bidi="ar-SA"/>
        </w:rPr>
      </w:pPr>
      <w:r>
        <w:rPr>
          <w:rFonts w:hint="eastAsia" w:ascii="黑体" w:hAnsi="黑体" w:eastAsia="黑体" w:cs="黑体"/>
          <w:b w:val="0"/>
          <w:color w:val="auto"/>
          <w:kern w:val="2"/>
          <w:sz w:val="32"/>
          <w:szCs w:val="32"/>
          <w:lang w:val="en-US" w:eastAsia="zh-CN" w:bidi="ar-SA"/>
        </w:rPr>
        <w:t>五、资金测算</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对留光明的高校毕业生按所获得</w:t>
      </w:r>
      <w:r>
        <w:rPr>
          <w:rFonts w:hint="default" w:ascii="仿宋_GB2312" w:hAnsi="仿宋_GB2312" w:eastAsia="仿宋_GB2312" w:cs="仿宋_GB2312"/>
          <w:b w:val="0"/>
          <w:bCs w:val="0"/>
          <w:color w:val="auto"/>
          <w:sz w:val="32"/>
          <w:szCs w:val="32"/>
          <w:highlight w:val="none"/>
          <w:lang w:val="en" w:eastAsia="zh-CN"/>
        </w:rPr>
        <w:t>优秀毕业生</w:t>
      </w:r>
      <w:r>
        <w:rPr>
          <w:rFonts w:hint="eastAsia" w:ascii="仿宋_GB2312" w:hAnsi="仿宋_GB2312" w:eastAsia="仿宋_GB2312" w:cs="仿宋_GB2312"/>
          <w:b w:val="0"/>
          <w:bCs w:val="0"/>
          <w:color w:val="auto"/>
          <w:sz w:val="32"/>
          <w:szCs w:val="32"/>
          <w:highlight w:val="none"/>
          <w:lang w:val="en-US" w:eastAsia="zh-CN"/>
        </w:rPr>
        <w:t>奖学金1:1</w:t>
      </w:r>
      <w:r>
        <w:rPr>
          <w:rFonts w:hint="eastAsia" w:ascii="仿宋_GB2312" w:hAnsi="仿宋_GB2312" w:eastAsia="仿宋_GB2312" w:cs="仿宋_GB2312"/>
          <w:b w:val="0"/>
          <w:bCs w:val="0"/>
          <w:color w:val="auto"/>
          <w:kern w:val="2"/>
          <w:sz w:val="32"/>
          <w:szCs w:val="32"/>
          <w:highlight w:val="none"/>
          <w:lang w:val="en-US" w:eastAsia="zh-CN" w:bidi="ar-SA"/>
        </w:rPr>
        <w:t>的比例给予每人最高10万元的</w:t>
      </w:r>
      <w:r>
        <w:rPr>
          <w:rFonts w:hint="eastAsia" w:ascii="仿宋_GB2312" w:hAnsi="仿宋_GB2312" w:eastAsia="仿宋_GB2312" w:cs="仿宋_GB2312"/>
          <w:b w:val="0"/>
          <w:bCs w:val="0"/>
          <w:color w:val="auto"/>
          <w:sz w:val="32"/>
          <w:szCs w:val="32"/>
          <w:highlight w:val="none"/>
          <w:lang w:val="en-US" w:eastAsia="zh-CN"/>
        </w:rPr>
        <w:t>一次性生活补助，按10人人均获得封顶补贴测算，共需100万元。</w:t>
      </w:r>
    </w:p>
    <w:p>
      <w:pPr>
        <w:keepNext w:val="0"/>
        <w:keepLines w:val="0"/>
        <w:pageBreakBefore w:val="0"/>
        <w:widowControl/>
        <w:numPr>
          <w:ilvl w:val="0"/>
          <w:numId w:val="1"/>
        </w:numPr>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黑体" w:hAnsi="黑体" w:eastAsia="黑体" w:cs="黑体"/>
          <w:b w:val="0"/>
          <w:color w:val="auto"/>
          <w:kern w:val="2"/>
          <w:sz w:val="32"/>
          <w:szCs w:val="32"/>
          <w:lang w:val="en-US" w:eastAsia="zh-CN" w:bidi="ar-SA"/>
        </w:rPr>
      </w:pPr>
      <w:r>
        <w:rPr>
          <w:rFonts w:hint="eastAsia" w:ascii="黑体" w:hAnsi="黑体" w:eastAsia="黑体" w:cs="黑体"/>
          <w:b w:val="0"/>
          <w:color w:val="auto"/>
          <w:kern w:val="2"/>
          <w:sz w:val="32"/>
          <w:szCs w:val="32"/>
          <w:lang w:val="en-US" w:eastAsia="zh-CN" w:bidi="ar-SA"/>
        </w:rPr>
        <w:t>政策依据</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 w:eastAsia="zh-CN" w:bidi="ar-SA"/>
        </w:rPr>
        <w:t>（一）</w:t>
      </w:r>
      <w:r>
        <w:rPr>
          <w:rFonts w:hint="default" w:ascii="仿宋_GB2312" w:hAnsi="仿宋_GB2312" w:eastAsia="仿宋_GB2312" w:cs="仿宋_GB2312"/>
          <w:b w:val="0"/>
          <w:color w:val="auto"/>
          <w:kern w:val="2"/>
          <w:sz w:val="32"/>
          <w:szCs w:val="32"/>
          <w:highlight w:val="none"/>
          <w:lang w:val="en" w:eastAsia="zh-CN" w:bidi="ar-SA"/>
        </w:rPr>
        <w:t>《</w:t>
      </w:r>
      <w:r>
        <w:rPr>
          <w:rFonts w:hint="eastAsia" w:ascii="仿宋_GB2312" w:hAnsi="仿宋_GB2312" w:eastAsia="仿宋_GB2312" w:cs="仿宋_GB2312"/>
          <w:b w:val="0"/>
          <w:color w:val="auto"/>
          <w:kern w:val="2"/>
          <w:sz w:val="32"/>
          <w:szCs w:val="32"/>
          <w:highlight w:val="none"/>
          <w:lang w:val="en-US" w:eastAsia="zh-CN" w:bidi="ar-SA"/>
        </w:rPr>
        <w:t>中华人民共和国就业促进法</w:t>
      </w:r>
      <w:r>
        <w:rPr>
          <w:rFonts w:hint="default" w:ascii="仿宋_GB2312" w:hAnsi="仿宋_GB2312" w:eastAsia="仿宋_GB2312" w:cs="仿宋_GB2312"/>
          <w:b w:val="0"/>
          <w:color w:val="auto"/>
          <w:kern w:val="2"/>
          <w:sz w:val="32"/>
          <w:szCs w:val="32"/>
          <w:highlight w:val="none"/>
          <w:lang w:val="en" w:eastAsia="zh-CN" w:bidi="ar-SA"/>
        </w:rPr>
        <w:t>》</w:t>
      </w:r>
      <w:r>
        <w:rPr>
          <w:rFonts w:hint="eastAsia" w:ascii="仿宋_GB2312" w:hAnsi="仿宋_GB2312" w:eastAsia="仿宋_GB2312" w:cs="仿宋_GB2312"/>
          <w:b w:val="0"/>
          <w:color w:val="auto"/>
          <w:kern w:val="2"/>
          <w:sz w:val="32"/>
          <w:szCs w:val="32"/>
          <w:highlight w:val="none"/>
          <w:lang w:val="en" w:eastAsia="zh-CN" w:bidi="ar-SA"/>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b w:val="0"/>
          <w:color w:val="auto"/>
          <w:kern w:val="2"/>
          <w:sz w:val="32"/>
          <w:szCs w:val="32"/>
          <w:highlight w:val="none"/>
          <w:lang w:val="en" w:eastAsia="zh-CN" w:bidi="ar-SA"/>
        </w:rPr>
        <w:t>（二）《</w:t>
      </w:r>
      <w:r>
        <w:rPr>
          <w:rFonts w:hint="eastAsia" w:ascii="仿宋_GB2312" w:hAnsi="仿宋_GB2312" w:eastAsia="仿宋_GB2312" w:cs="仿宋_GB2312"/>
          <w:b w:val="0"/>
          <w:color w:val="auto"/>
          <w:kern w:val="2"/>
          <w:sz w:val="32"/>
          <w:szCs w:val="32"/>
          <w:highlight w:val="none"/>
          <w:lang w:val="en-US" w:eastAsia="zh-CN" w:bidi="ar-SA"/>
        </w:rPr>
        <w:t>国务院办公厅关于进一步做好高校毕业生等青年就业创业工作的通知</w:t>
      </w:r>
      <w:r>
        <w:rPr>
          <w:rFonts w:hint="default" w:ascii="仿宋_GB2312" w:hAnsi="仿宋_GB2312" w:eastAsia="仿宋_GB2312" w:cs="仿宋_GB2312"/>
          <w:b w:val="0"/>
          <w:color w:val="auto"/>
          <w:kern w:val="2"/>
          <w:sz w:val="32"/>
          <w:szCs w:val="32"/>
          <w:highlight w:val="none"/>
          <w:lang w:val="en" w:eastAsia="zh-CN" w:bidi="ar-SA"/>
        </w:rPr>
        <w:t>》</w:t>
      </w:r>
      <w:r>
        <w:rPr>
          <w:rFonts w:hint="eastAsia" w:ascii="仿宋_GB2312" w:hAnsi="仿宋_GB2312" w:eastAsia="仿宋_GB2312" w:cs="仿宋_GB2312"/>
          <w:b w:val="0"/>
          <w:color w:val="auto"/>
          <w:kern w:val="2"/>
          <w:sz w:val="32"/>
          <w:szCs w:val="32"/>
          <w:highlight w:val="none"/>
          <w:lang w:val="en-US" w:eastAsia="zh-CN" w:bidi="ar-SA"/>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color w:val="auto"/>
          <w:sz w:val="32"/>
          <w:szCs w:val="32"/>
          <w:highlight w:val="none"/>
          <w:lang w:eastAsia="zh-CN"/>
        </w:rPr>
        <w:t>（三）</w:t>
      </w:r>
      <w:r>
        <w:rPr>
          <w:rFonts w:hint="eastAsia" w:ascii="仿宋_GB2312" w:hAnsi="仿宋_GB2312" w:eastAsia="仿宋_GB2312" w:cs="仿宋_GB2312"/>
          <w:b w:val="0"/>
          <w:color w:val="auto"/>
          <w:kern w:val="2"/>
          <w:sz w:val="32"/>
          <w:szCs w:val="32"/>
          <w:highlight w:val="none"/>
          <w:lang w:val="en-US" w:eastAsia="zh-CN" w:bidi="ar-SA"/>
        </w:rPr>
        <w:t>《</w:t>
      </w:r>
      <w:r>
        <w:rPr>
          <w:rFonts w:hint="default" w:ascii="仿宋_GB2312" w:hAnsi="仿宋_GB2312" w:eastAsia="仿宋_GB2312" w:cs="仿宋_GB2312"/>
          <w:b w:val="0"/>
          <w:color w:val="auto"/>
          <w:kern w:val="2"/>
          <w:sz w:val="32"/>
          <w:szCs w:val="32"/>
          <w:highlight w:val="none"/>
          <w:lang w:val="en-US" w:eastAsia="zh-CN" w:bidi="ar-SA"/>
        </w:rPr>
        <w:t>深圳经济特区人才工作条例</w:t>
      </w:r>
      <w:r>
        <w:rPr>
          <w:rFonts w:hint="eastAsia" w:ascii="仿宋_GB2312" w:hAnsi="仿宋_GB2312" w:eastAsia="仿宋_GB2312" w:cs="仿宋_GB2312"/>
          <w:b w:val="0"/>
          <w:color w:val="auto"/>
          <w:kern w:val="2"/>
          <w:sz w:val="32"/>
          <w:szCs w:val="32"/>
          <w:highlight w:val="none"/>
          <w:lang w:val="en-US" w:eastAsia="zh-CN" w:bidi="ar-SA"/>
        </w:rPr>
        <w:t>》。</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420" w:firstLineChars="200"/>
        <w:jc w:val="both"/>
        <w:textAlignment w:val="auto"/>
        <w:rPr>
          <w:rFonts w:hint="default"/>
          <w:color w:val="auto"/>
          <w:lang w:val="en-US" w:eastAsia="zh-CN"/>
        </w:rPr>
      </w:pP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文星仿宋">
    <w:altName w:val="方正仿宋_GBK"/>
    <w:panose1 w:val="00000000000000000000"/>
    <w:charset w:val="00"/>
    <w:family w:val="auto"/>
    <w:pitch w:val="default"/>
    <w:sig w:usb0="00000000" w:usb1="00000000" w:usb2="00000010"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altName w:val="方正楷体_GBK"/>
    <w:panose1 w:val="02010609030101010101"/>
    <w:charset w:val="00"/>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4"/>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535660"/>
    <w:multiLevelType w:val="singleLevel"/>
    <w:tmpl w:val="F6535660"/>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VkMzgxMDNhNDJmZjFiNjA2ZTI2ZWZmY2M0ODFkNDIifQ=="/>
  </w:docVars>
  <w:rsids>
    <w:rsidRoot w:val="4A1947CF"/>
    <w:rsid w:val="177E7F56"/>
    <w:rsid w:val="19BF2874"/>
    <w:rsid w:val="1CEFF76A"/>
    <w:rsid w:val="1F6F4324"/>
    <w:rsid w:val="240D4443"/>
    <w:rsid w:val="26E7B988"/>
    <w:rsid w:val="27EE21AE"/>
    <w:rsid w:val="2B5BE77F"/>
    <w:rsid w:val="2FB3FDF7"/>
    <w:rsid w:val="377C14A0"/>
    <w:rsid w:val="3B375985"/>
    <w:rsid w:val="3DFD28F5"/>
    <w:rsid w:val="3F7E3243"/>
    <w:rsid w:val="41DF5310"/>
    <w:rsid w:val="467B0E01"/>
    <w:rsid w:val="4733718A"/>
    <w:rsid w:val="47FF5F26"/>
    <w:rsid w:val="4A1947CF"/>
    <w:rsid w:val="4AFF6249"/>
    <w:rsid w:val="56D337C2"/>
    <w:rsid w:val="5BBE6400"/>
    <w:rsid w:val="5E5D17D9"/>
    <w:rsid w:val="5E693CAF"/>
    <w:rsid w:val="5F7B6936"/>
    <w:rsid w:val="5FBFCD1B"/>
    <w:rsid w:val="5FE5E3DE"/>
    <w:rsid w:val="5FFFDDCA"/>
    <w:rsid w:val="63FD1337"/>
    <w:rsid w:val="6AAA8609"/>
    <w:rsid w:val="6D5B776A"/>
    <w:rsid w:val="6FDBAE50"/>
    <w:rsid w:val="6FFE6315"/>
    <w:rsid w:val="76D7F1A9"/>
    <w:rsid w:val="7AE702A6"/>
    <w:rsid w:val="7BB7127F"/>
    <w:rsid w:val="7BCFA955"/>
    <w:rsid w:val="7C7BE2DE"/>
    <w:rsid w:val="7DEEB723"/>
    <w:rsid w:val="7E33C8A2"/>
    <w:rsid w:val="7EAE9281"/>
    <w:rsid w:val="7EFAE83B"/>
    <w:rsid w:val="7F9E993B"/>
    <w:rsid w:val="7FBF722F"/>
    <w:rsid w:val="7FDF0AA5"/>
    <w:rsid w:val="7FFE3404"/>
    <w:rsid w:val="91374417"/>
    <w:rsid w:val="9EE55273"/>
    <w:rsid w:val="BFC33C62"/>
    <w:rsid w:val="BFEF1C0F"/>
    <w:rsid w:val="BFEF9ABB"/>
    <w:rsid w:val="CDBF8A01"/>
    <w:rsid w:val="CEF36283"/>
    <w:rsid w:val="D06F3FD4"/>
    <w:rsid w:val="D8FD702F"/>
    <w:rsid w:val="DCFF68D7"/>
    <w:rsid w:val="DEFF3FA0"/>
    <w:rsid w:val="DFDA80DD"/>
    <w:rsid w:val="DFF9AC5B"/>
    <w:rsid w:val="E9FFF3B4"/>
    <w:rsid w:val="EB7ABCCA"/>
    <w:rsid w:val="EBFD9769"/>
    <w:rsid w:val="EDAFC329"/>
    <w:rsid w:val="EE6BF48C"/>
    <w:rsid w:val="EF43AB54"/>
    <w:rsid w:val="EFBF2086"/>
    <w:rsid w:val="EFFFE9D7"/>
    <w:rsid w:val="F547A713"/>
    <w:rsid w:val="F5ED427E"/>
    <w:rsid w:val="F5F97769"/>
    <w:rsid w:val="F7DF2C5A"/>
    <w:rsid w:val="FA7F0C9C"/>
    <w:rsid w:val="FAEADEE6"/>
    <w:rsid w:val="FB9FEB75"/>
    <w:rsid w:val="FBE76584"/>
    <w:rsid w:val="FBEF3B03"/>
    <w:rsid w:val="FDFB0BDE"/>
    <w:rsid w:val="FE7B55E8"/>
    <w:rsid w:val="FEB32BF3"/>
    <w:rsid w:val="FEF557A1"/>
    <w:rsid w:val="FEFDC774"/>
    <w:rsid w:val="FF9F5B7B"/>
    <w:rsid w:val="FFBBAF07"/>
    <w:rsid w:val="FFBF8645"/>
    <w:rsid w:val="FFDF0F1D"/>
    <w:rsid w:val="FFFFB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rPr>
      <w:rFonts w:eastAsia="文星仿宋"/>
      <w:sz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1342</Words>
  <Characters>1403</Characters>
  <Lines>0</Lines>
  <Paragraphs>0</Paragraphs>
  <TotalTime>0</TotalTime>
  <ScaleCrop>false</ScaleCrop>
  <LinksUpToDate>false</LinksUpToDate>
  <CharactersWithSpaces>1403</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2018-07-17T15:11:00Z</dcterms:created>
  <dc:creator>d</dc:creator>
  <cp:lastModifiedBy>a</cp:lastModifiedBy>
  <dcterms:modified xsi:type="dcterms:W3CDTF">2023-04-28T16:59:11Z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E4669DE3128C44C190BCEC1AD95AC93C</vt:lpwstr>
  </property>
</Properties>
</file>