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val="0"/>
        <w:wordWrap/>
        <w:topLinePunct w:val="0"/>
        <w:bidi w:val="0"/>
        <w:spacing w:beforeAutospacing="0" w:after="0" w:afterAutospacing="0" w:line="560" w:lineRule="exact"/>
        <w:ind w:left="0" w:leftChars="0" w:firstLine="0" w:firstLineChars="0"/>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南山区自主创新产业发展专项资金管理办法</w:t>
      </w:r>
    </w:p>
    <w:p>
      <w:pPr>
        <w:keepNext w:val="0"/>
        <w:keepLines w:val="0"/>
        <w:pageBreakBefore w:val="0"/>
        <w:widowControl w:val="0"/>
        <w:wordWrap/>
        <w:topLinePunct w:val="0"/>
        <w:bidi w:val="0"/>
        <w:spacing w:beforeAutospacing="0" w:afterAutospacing="0" w:line="560" w:lineRule="exact"/>
        <w:ind w:left="0" w:leftChars="0"/>
        <w:jc w:val="center"/>
        <w:rPr>
          <w:rFonts w:hint="eastAsia" w:ascii="宋体" w:hAnsi="宋体" w:eastAsia="宋体" w:cs="宋体"/>
          <w:b/>
          <w:bCs/>
          <w:sz w:val="36"/>
          <w:szCs w:val="36"/>
        </w:rPr>
      </w:pPr>
      <w:r>
        <w:rPr>
          <w:rFonts w:hint="eastAsia" w:ascii="宋体" w:hAnsi="宋体" w:eastAsia="宋体" w:cs="宋体"/>
          <w:b/>
          <w:bCs/>
          <w:sz w:val="36"/>
          <w:szCs w:val="36"/>
        </w:rPr>
        <w:t>（</w:t>
      </w:r>
      <w:r>
        <w:rPr>
          <w:rFonts w:hint="eastAsia" w:ascii="宋体" w:hAnsi="宋体" w:eastAsia="宋体" w:cs="宋体"/>
          <w:b/>
          <w:bCs/>
          <w:sz w:val="36"/>
          <w:szCs w:val="36"/>
          <w:lang w:eastAsia="zh-CN"/>
        </w:rPr>
        <w:t>征求</w:t>
      </w:r>
      <w:r>
        <w:rPr>
          <w:rFonts w:hint="eastAsia" w:ascii="宋体" w:hAnsi="宋体" w:eastAsia="宋体" w:cs="宋体"/>
          <w:b/>
          <w:bCs/>
          <w:sz w:val="36"/>
          <w:szCs w:val="36"/>
        </w:rPr>
        <w:t>意见稿）</w:t>
      </w:r>
    </w:p>
    <w:p>
      <w:pPr>
        <w:keepNext w:val="0"/>
        <w:keepLines w:val="0"/>
        <w:pageBreakBefore w:val="0"/>
        <w:widowControl w:val="0"/>
        <w:wordWrap/>
        <w:topLinePunct w:val="0"/>
        <w:bidi w:val="0"/>
        <w:spacing w:beforeAutospacing="0" w:afterAutospacing="0" w:line="560" w:lineRule="exact"/>
        <w:ind w:left="0" w:leftChars="0"/>
        <w:jc w:val="both"/>
        <w:rPr>
          <w:rFonts w:hint="eastAsia" w:ascii="仿宋_GB2312" w:hAnsi="仿宋_GB2312"/>
          <w:szCs w:val="32"/>
        </w:rPr>
      </w:pPr>
    </w:p>
    <w:p>
      <w:pPr>
        <w:keepNext w:val="0"/>
        <w:keepLines w:val="0"/>
        <w:pageBreakBefore w:val="0"/>
        <w:widowControl w:val="0"/>
        <w:wordWrap/>
        <w:topLinePunct w:val="0"/>
        <w:bidi w:val="0"/>
        <w:spacing w:beforeAutospacing="0" w:afterAutospacing="0" w:line="560" w:lineRule="exact"/>
        <w:ind w:left="0" w:leftChars="0"/>
        <w:jc w:val="center"/>
        <w:rPr>
          <w:rFonts w:ascii="黑体" w:hAnsi="黑体" w:eastAsia="黑体"/>
          <w:szCs w:val="32"/>
        </w:rPr>
      </w:pPr>
      <w:r>
        <w:rPr>
          <w:rFonts w:hint="eastAsia" w:ascii="黑体" w:hAnsi="黑体" w:eastAsia="黑体"/>
          <w:szCs w:val="32"/>
        </w:rPr>
        <w:t>第一章  总</w:t>
      </w:r>
      <w:r>
        <w:rPr>
          <w:rFonts w:hint="eastAsia" w:ascii="黑体" w:hAnsi="黑体" w:eastAsia="黑体"/>
          <w:szCs w:val="32"/>
          <w:lang w:val="en-US" w:eastAsia="zh-CN"/>
        </w:rPr>
        <w:t xml:space="preserve">  </w:t>
      </w:r>
      <w:r>
        <w:rPr>
          <w:rFonts w:hint="eastAsia" w:ascii="黑体" w:hAnsi="黑体" w:eastAsia="黑体"/>
          <w:szCs w:val="32"/>
        </w:rPr>
        <w:t>则</w:t>
      </w:r>
    </w:p>
    <w:p>
      <w:pPr>
        <w:keepNext w:val="0"/>
        <w:keepLines w:val="0"/>
        <w:pageBreakBefore w:val="0"/>
        <w:widowControl w:val="0"/>
        <w:wordWrap/>
        <w:topLinePunct w:val="0"/>
        <w:bidi w:val="0"/>
        <w:spacing w:beforeAutospacing="0" w:afterAutospacing="0" w:line="560" w:lineRule="exact"/>
        <w:ind w:left="0" w:leftChars="0"/>
        <w:rPr>
          <w:rFonts w:ascii="仿宋_GB2312" w:hAnsi="仿宋_GB2312"/>
          <w:szCs w:val="32"/>
        </w:rPr>
      </w:pP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r>
        <w:rPr>
          <w:rFonts w:hint="eastAsia" w:ascii="楷体_GB2312" w:hAnsi="楷体_GB2312" w:eastAsia="楷体_GB2312" w:cs="楷体_GB2312"/>
          <w:b/>
          <w:bCs/>
          <w:szCs w:val="32"/>
        </w:rPr>
        <w:t>第一条</w:t>
      </w:r>
      <w:r>
        <w:rPr>
          <w:rFonts w:hint="eastAsia" w:ascii="黑体" w:hAnsi="黑体" w:eastAsia="黑体"/>
          <w:szCs w:val="32"/>
        </w:rPr>
        <w:t xml:space="preserve">  </w:t>
      </w:r>
      <w:r>
        <w:rPr>
          <w:rFonts w:hint="eastAsia" w:ascii="仿宋_GB2312" w:hAnsi="仿宋_GB2312"/>
          <w:szCs w:val="32"/>
        </w:rPr>
        <w:t>为抢抓粤港澳大湾区建设、深圳先行示范区建设重大机遇，打造世界级创新型滨海中心城区，</w:t>
      </w:r>
      <w:r>
        <w:rPr>
          <w:rFonts w:hint="eastAsia" w:ascii="仿宋_GB2312" w:hAnsi="仿宋_GB2312"/>
          <w:szCs w:val="32"/>
          <w:lang w:eastAsia="zh-CN"/>
        </w:rPr>
        <w:t>深入</w:t>
      </w:r>
      <w:r>
        <w:rPr>
          <w:rFonts w:hint="eastAsia" w:ascii="仿宋_GB2312" w:hAnsi="仿宋_GB2312"/>
          <w:szCs w:val="32"/>
        </w:rPr>
        <w:t>实施“总部研发+高端制造”</w:t>
      </w:r>
      <w:r>
        <w:rPr>
          <w:rFonts w:hint="eastAsia" w:ascii="仿宋_GB2312" w:hAnsi="仿宋_GB2312"/>
          <w:szCs w:val="32"/>
          <w:lang w:eastAsia="zh-CN"/>
        </w:rPr>
        <w:t>产业</w:t>
      </w:r>
      <w:r>
        <w:rPr>
          <w:rFonts w:hint="eastAsia" w:ascii="仿宋_GB2312" w:hAnsi="仿宋_GB2312"/>
          <w:szCs w:val="32"/>
        </w:rPr>
        <w:t>发展战略，加快转变经济发展方式，推动产业结构优化升级，实现有质量的稳定增长和可持续的全面发展，根据国家、省、市有关鼓励、促进产业发展的政策措施，结合我区实际，制定本办法。</w:t>
      </w:r>
    </w:p>
    <w:p>
      <w:pPr>
        <w:keepNext w:val="0"/>
        <w:keepLines w:val="0"/>
        <w:pageBreakBefore w:val="0"/>
        <w:widowControl w:val="0"/>
        <w:wordWrap/>
        <w:topLinePunct w:val="0"/>
        <w:bidi w:val="0"/>
        <w:spacing w:beforeAutospacing="0" w:afterAutospacing="0" w:line="560" w:lineRule="exact"/>
        <w:ind w:left="0" w:leftChars="0" w:firstLine="645"/>
        <w:rPr>
          <w:rFonts w:hint="eastAsia" w:ascii="仿宋_GB2312" w:hAnsi="仿宋_GB2312"/>
          <w:szCs w:val="32"/>
        </w:rPr>
      </w:pPr>
      <w:r>
        <w:rPr>
          <w:rFonts w:hint="eastAsia" w:ascii="楷体_GB2312" w:hAnsi="楷体_GB2312" w:eastAsia="楷体_GB2312" w:cs="楷体_GB2312"/>
          <w:b/>
          <w:bCs/>
          <w:szCs w:val="32"/>
        </w:rPr>
        <w:t>第二条</w:t>
      </w:r>
      <w:r>
        <w:rPr>
          <w:rFonts w:hint="eastAsia" w:ascii="黑体" w:hAnsi="黑体" w:eastAsia="黑体"/>
          <w:szCs w:val="32"/>
        </w:rPr>
        <w:t xml:space="preserve">  </w:t>
      </w:r>
      <w:r>
        <w:rPr>
          <w:rFonts w:hint="eastAsia" w:ascii="仿宋_GB2312" w:hAnsi="仿宋_GB2312"/>
          <w:szCs w:val="32"/>
        </w:rPr>
        <w:t>区政府设立南山区自主创新产业发展专项资金（以下简称“专项资金”），为促进创新驱动和提升全区社会经济发展水平提供政策性资金支持。</w:t>
      </w:r>
    </w:p>
    <w:p>
      <w:pPr>
        <w:keepNext w:val="0"/>
        <w:keepLines w:val="0"/>
        <w:pageBreakBefore w:val="0"/>
        <w:widowControl w:val="0"/>
        <w:wordWrap/>
        <w:topLinePunct w:val="0"/>
        <w:bidi w:val="0"/>
        <w:spacing w:beforeAutospacing="0" w:afterAutospacing="0" w:line="560" w:lineRule="exact"/>
        <w:ind w:left="0" w:leftChars="0" w:firstLine="645"/>
        <w:rPr>
          <w:rFonts w:hint="eastAsia" w:ascii="仿宋_GB2312" w:hAnsi="仿宋_GB2312"/>
          <w:szCs w:val="32"/>
        </w:rPr>
      </w:pPr>
      <w:r>
        <w:rPr>
          <w:rFonts w:hint="eastAsia" w:ascii="楷体_GB2312" w:hAnsi="楷体_GB2312" w:eastAsia="楷体_GB2312" w:cs="楷体_GB2312"/>
          <w:b/>
          <w:bCs/>
          <w:szCs w:val="32"/>
        </w:rPr>
        <w:t>第</w:t>
      </w:r>
      <w:r>
        <w:rPr>
          <w:rFonts w:hint="eastAsia" w:ascii="楷体_GB2312" w:hAnsi="楷体_GB2312" w:eastAsia="楷体_GB2312" w:cs="楷体_GB2312"/>
          <w:b/>
          <w:bCs/>
          <w:szCs w:val="32"/>
          <w:lang w:eastAsia="zh-CN"/>
        </w:rPr>
        <w:t>三</w:t>
      </w:r>
      <w:r>
        <w:rPr>
          <w:rFonts w:hint="eastAsia" w:ascii="楷体_GB2312" w:hAnsi="楷体_GB2312" w:eastAsia="楷体_GB2312" w:cs="楷体_GB2312"/>
          <w:b/>
          <w:bCs/>
          <w:szCs w:val="32"/>
        </w:rPr>
        <w:t>条</w:t>
      </w:r>
      <w:r>
        <w:rPr>
          <w:rFonts w:hint="eastAsia" w:ascii="仿宋_GB2312" w:hAnsi="仿宋_GB2312" w:eastAsia="仿宋_GB2312"/>
          <w:szCs w:val="32"/>
        </w:rPr>
        <w:t xml:space="preserve">  专项资金的安排使用坚持公平、公开、公正的原则，根据扶持类别、扶持范围和扶持对象的不同特点，分别采用评审、核准等办法确定扶持项目，实行自愿申报、科学决策和绩效评估的管理制度。</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r>
        <w:rPr>
          <w:rFonts w:hint="eastAsia" w:ascii="楷体_GB2312" w:hAnsi="楷体_GB2312" w:eastAsia="楷体_GB2312" w:cs="楷体_GB2312"/>
          <w:b/>
          <w:bCs/>
          <w:szCs w:val="32"/>
        </w:rPr>
        <w:t>第四条</w:t>
      </w:r>
      <w:r>
        <w:rPr>
          <w:rFonts w:hint="eastAsia" w:ascii="仿宋_GB2312" w:hAnsi="仿宋_GB2312"/>
          <w:szCs w:val="32"/>
        </w:rPr>
        <w:t xml:space="preserve">  专项资金的使用主要采取无偿资助的方式，具体包括核准类资助</w:t>
      </w:r>
      <w:r>
        <w:rPr>
          <w:rFonts w:hint="eastAsia" w:ascii="仿宋_GB2312" w:hAnsi="仿宋_GB2312"/>
          <w:szCs w:val="32"/>
          <w:lang w:eastAsia="zh-CN"/>
        </w:rPr>
        <w:t>、</w:t>
      </w:r>
      <w:r>
        <w:rPr>
          <w:rFonts w:hint="eastAsia" w:ascii="仿宋_GB2312" w:hAnsi="仿宋_GB2312"/>
          <w:szCs w:val="32"/>
        </w:rPr>
        <w:t>评审类资助</w:t>
      </w:r>
      <w:r>
        <w:rPr>
          <w:rFonts w:hint="eastAsia" w:ascii="仿宋_GB2312" w:hAnsi="仿宋_GB2312"/>
          <w:szCs w:val="32"/>
          <w:lang w:eastAsia="zh-CN"/>
        </w:rPr>
        <w:t>和</w:t>
      </w:r>
      <w:r>
        <w:rPr>
          <w:rFonts w:hint="eastAsia" w:ascii="仿宋_GB2312" w:hAnsi="仿宋_GB2312"/>
          <w:szCs w:val="32"/>
        </w:rPr>
        <w:t>专项类资助。核准类项目适用普惠性原则；评审类项目适用择优淘汰原则；专项类项目适用“一事一议”方式</w:t>
      </w:r>
      <w:r>
        <w:rPr>
          <w:rFonts w:hint="eastAsia" w:ascii="仿宋_GB2312" w:hAnsi="仿宋_GB2312"/>
          <w:szCs w:val="32"/>
          <w:lang w:eastAsia="zh-CN"/>
        </w:rPr>
        <w:t>，专项类项目由各部门提出意见后，报请</w:t>
      </w:r>
      <w:r>
        <w:rPr>
          <w:rFonts w:hint="eastAsia" w:ascii="仿宋_GB2312" w:hAnsi="仿宋_GB2312"/>
          <w:szCs w:val="32"/>
        </w:rPr>
        <w:t>专项资金领导小组会议审议。各类申报项目的性质、条件、资助方式和资助额度等，以各项产业扶持政策措施的规定为准。</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r>
        <w:rPr>
          <w:rFonts w:hint="eastAsia" w:ascii="仿宋_GB2312" w:hAnsi="仿宋_GB2312"/>
          <w:szCs w:val="32"/>
        </w:rPr>
        <w:t>符合条件的企事业单位在项目完成前申请专项资金资助的（以下简称“事前资助项目”），应与资金主管部门签订合同，明确资金使用要求；在项目完成后申请获得的专项资金，应视同其自有资金，由申请单位依法依规安排使用；资金主管部门可对资金的安排使用提出指导性要求。</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r>
        <w:rPr>
          <w:rFonts w:hint="eastAsia" w:ascii="楷体_GB2312" w:hAnsi="楷体_GB2312" w:eastAsia="楷体_GB2312" w:cs="楷体_GB2312"/>
          <w:b/>
          <w:bCs/>
          <w:szCs w:val="32"/>
        </w:rPr>
        <w:t>第</w:t>
      </w:r>
      <w:r>
        <w:rPr>
          <w:rFonts w:hint="eastAsia" w:ascii="楷体_GB2312" w:hAnsi="楷体_GB2312" w:eastAsia="楷体_GB2312" w:cs="楷体_GB2312"/>
          <w:b/>
          <w:bCs/>
          <w:szCs w:val="32"/>
          <w:lang w:eastAsia="zh-CN"/>
        </w:rPr>
        <w:t>五</w:t>
      </w:r>
      <w:r>
        <w:rPr>
          <w:rFonts w:hint="eastAsia" w:ascii="楷体_GB2312" w:hAnsi="楷体_GB2312" w:eastAsia="楷体_GB2312" w:cs="楷体_GB2312"/>
          <w:b/>
          <w:bCs/>
          <w:szCs w:val="32"/>
        </w:rPr>
        <w:t>条</w:t>
      </w:r>
      <w:r>
        <w:rPr>
          <w:rFonts w:hint="eastAsia" w:ascii="仿宋_GB2312" w:hAnsi="仿宋_GB2312"/>
          <w:szCs w:val="32"/>
        </w:rPr>
        <w:t xml:space="preserve">  专项资金的具体</w:t>
      </w:r>
      <w:r>
        <w:rPr>
          <w:rFonts w:hint="eastAsia" w:ascii="仿宋_GB2312" w:hAnsi="仿宋_GB2312"/>
          <w:color w:val="auto"/>
          <w:szCs w:val="32"/>
        </w:rPr>
        <w:t>扶持对象、扶持</w:t>
      </w:r>
      <w:r>
        <w:rPr>
          <w:rFonts w:hint="eastAsia" w:ascii="仿宋_GB2312" w:hAnsi="仿宋_GB2312"/>
          <w:color w:val="auto"/>
          <w:szCs w:val="32"/>
          <w:lang w:eastAsia="zh-CN"/>
        </w:rPr>
        <w:t>标准</w:t>
      </w:r>
      <w:r>
        <w:rPr>
          <w:rFonts w:hint="eastAsia" w:ascii="仿宋_GB2312" w:hAnsi="仿宋_GB2312"/>
          <w:szCs w:val="32"/>
        </w:rPr>
        <w:t>，分别由</w:t>
      </w:r>
      <w:r>
        <w:rPr>
          <w:rFonts w:hint="eastAsia" w:ascii="仿宋_GB2312" w:hAnsi="仿宋_GB2312"/>
          <w:szCs w:val="32"/>
          <w:lang w:eastAsia="zh-CN"/>
        </w:rPr>
        <w:t>各项产业扶持政策措施</w:t>
      </w:r>
      <w:r>
        <w:rPr>
          <w:rFonts w:hint="eastAsia" w:ascii="仿宋_GB2312" w:hAnsi="仿宋_GB2312"/>
          <w:szCs w:val="32"/>
        </w:rPr>
        <w:t>另行作出规定。</w:t>
      </w:r>
    </w:p>
    <w:p>
      <w:pPr>
        <w:keepNext w:val="0"/>
        <w:keepLines w:val="0"/>
        <w:pageBreakBefore w:val="0"/>
        <w:widowControl w:val="0"/>
        <w:wordWrap/>
        <w:topLinePunct w:val="0"/>
        <w:bidi w:val="0"/>
        <w:spacing w:beforeAutospacing="0" w:afterAutospacing="0" w:line="560" w:lineRule="exact"/>
        <w:ind w:left="0" w:leftChars="0"/>
        <w:jc w:val="center"/>
        <w:rPr>
          <w:rFonts w:ascii="黑体" w:hAnsi="黑体" w:eastAsia="黑体"/>
          <w:szCs w:val="32"/>
        </w:rPr>
      </w:pPr>
    </w:p>
    <w:p>
      <w:pPr>
        <w:keepNext w:val="0"/>
        <w:keepLines w:val="0"/>
        <w:pageBreakBefore w:val="0"/>
        <w:widowControl w:val="0"/>
        <w:wordWrap/>
        <w:topLinePunct w:val="0"/>
        <w:bidi w:val="0"/>
        <w:spacing w:beforeAutospacing="0" w:afterAutospacing="0" w:line="560" w:lineRule="exact"/>
        <w:ind w:left="0" w:leftChars="0"/>
        <w:jc w:val="center"/>
        <w:rPr>
          <w:rFonts w:ascii="仿宋_GB2312" w:hAnsi="仿宋_GB2312"/>
          <w:szCs w:val="32"/>
        </w:rPr>
      </w:pPr>
      <w:r>
        <w:rPr>
          <w:rFonts w:hint="eastAsia" w:ascii="黑体" w:hAnsi="黑体" w:eastAsia="黑体"/>
          <w:szCs w:val="32"/>
        </w:rPr>
        <w:t>第二章</w:t>
      </w:r>
      <w:r>
        <w:rPr>
          <w:rFonts w:hint="eastAsia" w:ascii="仿宋_GB2312" w:hAnsi="仿宋_GB2312"/>
          <w:szCs w:val="32"/>
        </w:rPr>
        <w:t xml:space="preserve">  </w:t>
      </w:r>
      <w:r>
        <w:rPr>
          <w:rFonts w:hint="eastAsia" w:ascii="黑体" w:hAnsi="黑体" w:eastAsia="黑体"/>
          <w:szCs w:val="32"/>
        </w:rPr>
        <w:t>专项资金的管理机构与职责</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p>
    <w:p>
      <w:pPr>
        <w:keepNext w:val="0"/>
        <w:keepLines w:val="0"/>
        <w:pageBreakBefore w:val="0"/>
        <w:widowControl w:val="0"/>
        <w:wordWrap/>
        <w:topLinePunct w:val="0"/>
        <w:bidi w:val="0"/>
        <w:spacing w:beforeAutospacing="0" w:afterAutospacing="0" w:line="560" w:lineRule="exact"/>
        <w:ind w:left="0" w:leftChars="0" w:firstLine="645"/>
        <w:rPr>
          <w:rFonts w:hint="eastAsia" w:ascii="仿宋_GB2312" w:hAnsi="仿宋_GB2312"/>
          <w:szCs w:val="32"/>
        </w:rPr>
      </w:pPr>
      <w:r>
        <w:rPr>
          <w:rFonts w:hint="eastAsia" w:ascii="楷体_GB2312" w:hAnsi="楷体_GB2312" w:eastAsia="楷体_GB2312" w:cs="楷体_GB2312"/>
          <w:b/>
          <w:bCs/>
          <w:szCs w:val="32"/>
        </w:rPr>
        <w:t>第</w:t>
      </w:r>
      <w:r>
        <w:rPr>
          <w:rFonts w:hint="eastAsia" w:ascii="楷体_GB2312" w:hAnsi="楷体_GB2312" w:eastAsia="楷体_GB2312" w:cs="楷体_GB2312"/>
          <w:b/>
          <w:bCs/>
          <w:szCs w:val="32"/>
          <w:lang w:eastAsia="zh-CN"/>
        </w:rPr>
        <w:t>六</w:t>
      </w:r>
      <w:r>
        <w:rPr>
          <w:rFonts w:hint="eastAsia" w:ascii="楷体_GB2312" w:hAnsi="楷体_GB2312" w:eastAsia="楷体_GB2312" w:cs="楷体_GB2312"/>
          <w:b/>
          <w:bCs/>
          <w:szCs w:val="32"/>
        </w:rPr>
        <w:t>条</w:t>
      </w:r>
      <w:r>
        <w:rPr>
          <w:rFonts w:hint="eastAsia" w:ascii="黑体" w:hAnsi="黑体" w:eastAsia="黑体"/>
          <w:szCs w:val="32"/>
          <w:lang w:val="en-US" w:eastAsia="zh-CN"/>
        </w:rPr>
        <w:t xml:space="preserve">  </w:t>
      </w:r>
      <w:r>
        <w:rPr>
          <w:rFonts w:hint="eastAsia" w:ascii="仿宋_GB2312" w:hAnsi="仿宋_GB2312"/>
          <w:szCs w:val="32"/>
        </w:rPr>
        <w:t>南山区自主创新产业发展专项资金领导小组</w:t>
      </w:r>
      <w:r>
        <w:rPr>
          <w:rFonts w:hint="eastAsia" w:ascii="仿宋_GB2312" w:hAnsi="仿宋_GB2312"/>
          <w:szCs w:val="32"/>
          <w:lang w:eastAsia="zh-CN"/>
        </w:rPr>
        <w:t>（以下简称“专项资金领导小组”）</w:t>
      </w:r>
      <w:r>
        <w:rPr>
          <w:rFonts w:hint="eastAsia" w:ascii="仿宋_GB2312" w:hAnsi="仿宋_GB2312"/>
          <w:szCs w:val="32"/>
        </w:rPr>
        <w:t>是资金安排、使用和管理的决策审批机构。区发展改革局、区科技创新局、区工业和信息化局、区人力资源局、区住房建设局、区文化广电旅游体育局</w:t>
      </w:r>
      <w:r>
        <w:rPr>
          <w:rFonts w:hint="eastAsia" w:ascii="仿宋_GB2312" w:hAnsi="仿宋_GB2312"/>
          <w:szCs w:val="32"/>
          <w:lang w:eastAsia="zh-CN"/>
        </w:rPr>
        <w:t>、</w:t>
      </w:r>
      <w:r>
        <w:rPr>
          <w:rFonts w:hint="eastAsia" w:ascii="仿宋_GB2312" w:hAnsi="仿宋_GB2312"/>
          <w:szCs w:val="32"/>
        </w:rPr>
        <w:t>区企服中心</w:t>
      </w:r>
      <w:r>
        <w:rPr>
          <w:rFonts w:hint="eastAsia" w:ascii="仿宋_GB2312" w:hAnsi="仿宋_GB2312"/>
          <w:szCs w:val="32"/>
          <w:lang w:eastAsia="zh-CN"/>
        </w:rPr>
        <w:t>、</w:t>
      </w:r>
      <w:r>
        <w:rPr>
          <w:rFonts w:hint="eastAsia" w:ascii="仿宋_GB2312" w:hAnsi="仿宋_GB2312"/>
          <w:szCs w:val="32"/>
        </w:rPr>
        <w:t>市生态环境局南山管理局分别为各项产业扶持措施</w:t>
      </w:r>
      <w:r>
        <w:rPr>
          <w:rFonts w:hint="eastAsia" w:ascii="仿宋_GB2312" w:hAnsi="仿宋_GB2312"/>
          <w:szCs w:val="32"/>
          <w:lang w:eastAsia="zh-CN"/>
        </w:rPr>
        <w:t>的</w:t>
      </w:r>
      <w:r>
        <w:rPr>
          <w:rFonts w:hint="eastAsia" w:ascii="仿宋_GB2312" w:hAnsi="仿宋_GB2312"/>
          <w:szCs w:val="32"/>
        </w:rPr>
        <w:t>资金主管部门。与专项资金的安排、使用和管理相关的各资金主管部门会同区财政部门根据实际情况，适时就各项产业扶持政策措施资金的撤销、新设、合并及修订、调整提出方案，经专项资金领导小组会议研究同意后按程序报请区政府批准。</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r>
        <w:rPr>
          <w:rFonts w:hint="eastAsia" w:ascii="楷体_GB2312" w:hAnsi="楷体_GB2312" w:eastAsia="楷体_GB2312" w:cs="楷体_GB2312"/>
          <w:b/>
          <w:bCs/>
          <w:szCs w:val="32"/>
        </w:rPr>
        <w:t>第</w:t>
      </w:r>
      <w:r>
        <w:rPr>
          <w:rFonts w:hint="eastAsia" w:ascii="楷体_GB2312" w:hAnsi="楷体_GB2312" w:eastAsia="楷体_GB2312" w:cs="楷体_GB2312"/>
          <w:b/>
          <w:bCs/>
          <w:szCs w:val="32"/>
          <w:lang w:eastAsia="zh-CN"/>
        </w:rPr>
        <w:t>七</w:t>
      </w:r>
      <w:r>
        <w:rPr>
          <w:rFonts w:hint="eastAsia" w:ascii="楷体_GB2312" w:hAnsi="楷体_GB2312" w:eastAsia="楷体_GB2312" w:cs="楷体_GB2312"/>
          <w:b/>
          <w:bCs/>
          <w:szCs w:val="32"/>
        </w:rPr>
        <w:t>条</w:t>
      </w:r>
      <w:r>
        <w:rPr>
          <w:rFonts w:hint="eastAsia" w:ascii="仿宋_GB2312" w:hAnsi="仿宋_GB2312"/>
          <w:b/>
          <w:bCs/>
          <w:szCs w:val="32"/>
          <w:lang w:val="en-US" w:eastAsia="zh-CN"/>
        </w:rPr>
        <w:t xml:space="preserve">  </w:t>
      </w:r>
      <w:r>
        <w:rPr>
          <w:rFonts w:hint="eastAsia" w:ascii="仿宋_GB2312" w:hAnsi="仿宋_GB2312"/>
          <w:szCs w:val="32"/>
        </w:rPr>
        <w:t>专项资金领导小组由区长任组长，各资金主管部门的分管区领导任副组长，组成人员包括区人才工作局、区发展改革局、区科技创新局、区工业和信息化局、区司法局、区财政局、区人力资源局、区住房建设局、区文化广电旅游体育局、区统计局、区政务服务数据管理局</w:t>
      </w:r>
      <w:r>
        <w:rPr>
          <w:rFonts w:hint="eastAsia" w:ascii="仿宋_GB2312" w:hAnsi="仿宋_GB2312"/>
          <w:szCs w:val="32"/>
          <w:lang w:eastAsia="zh-CN"/>
        </w:rPr>
        <w:t>、</w:t>
      </w:r>
      <w:r>
        <w:rPr>
          <w:rFonts w:hint="eastAsia" w:ascii="仿宋_GB2312" w:hAnsi="仿宋_GB2312"/>
          <w:szCs w:val="32"/>
        </w:rPr>
        <w:t>区企服中心、市生态环境局南山管理局</w:t>
      </w:r>
      <w:r>
        <w:rPr>
          <w:rFonts w:hint="eastAsia" w:ascii="仿宋_GB2312" w:hAnsi="仿宋_GB2312"/>
          <w:szCs w:val="32"/>
          <w:lang w:eastAsia="zh-CN"/>
        </w:rPr>
        <w:t>、</w:t>
      </w:r>
      <w:r>
        <w:rPr>
          <w:rFonts w:hint="eastAsia" w:ascii="仿宋_GB2312" w:hAnsi="仿宋_GB2312"/>
          <w:szCs w:val="32"/>
        </w:rPr>
        <w:t>市市场监督管理局南山监管局</w:t>
      </w:r>
      <w:r>
        <w:rPr>
          <w:rFonts w:hint="eastAsia" w:ascii="仿宋_GB2312" w:hAnsi="仿宋_GB2312"/>
          <w:szCs w:val="32"/>
          <w:highlight w:val="none"/>
          <w:lang w:eastAsia="zh-CN"/>
        </w:rPr>
        <w:t>、南山战新投公司</w:t>
      </w:r>
      <w:r>
        <w:rPr>
          <w:rFonts w:hint="eastAsia" w:ascii="仿宋_GB2312" w:hAnsi="仿宋_GB2312"/>
          <w:szCs w:val="32"/>
          <w:highlight w:val="none"/>
        </w:rPr>
        <w:t>等</w:t>
      </w:r>
      <w:r>
        <w:rPr>
          <w:rFonts w:hint="eastAsia" w:ascii="仿宋_GB2312" w:hAnsi="仿宋_GB2312"/>
          <w:szCs w:val="32"/>
          <w:highlight w:val="none"/>
          <w:lang w:eastAsia="zh-CN"/>
        </w:rPr>
        <w:t>单位</w:t>
      </w:r>
      <w:r>
        <w:rPr>
          <w:rFonts w:hint="eastAsia" w:ascii="仿宋_GB2312" w:hAnsi="仿宋_GB2312"/>
          <w:szCs w:val="32"/>
        </w:rPr>
        <w:t>主要负责人。专项资金领导小组对资金的安排、使用和管理行使决策权、监督权，领导小组办公室根据各资金主管部门的申请，组织召开领导小组会议。在领导小组下设若干个资金审批专责小组，各专责小组由各分管副区长、各有关部门组成，分管副区长为专责小组组长。领导小组办公室设在区企服中心。</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r>
        <w:rPr>
          <w:rFonts w:hint="eastAsia" w:ascii="楷体_GB2312" w:hAnsi="楷体_GB2312" w:eastAsia="楷体_GB2312" w:cs="楷体_GB2312"/>
          <w:b/>
          <w:bCs/>
          <w:szCs w:val="32"/>
        </w:rPr>
        <w:t>第</w:t>
      </w:r>
      <w:r>
        <w:rPr>
          <w:rFonts w:hint="eastAsia" w:ascii="楷体_GB2312" w:hAnsi="楷体_GB2312" w:eastAsia="楷体_GB2312" w:cs="楷体_GB2312"/>
          <w:b/>
          <w:bCs/>
          <w:szCs w:val="32"/>
          <w:lang w:eastAsia="zh-CN"/>
        </w:rPr>
        <w:t>八</w:t>
      </w:r>
      <w:r>
        <w:rPr>
          <w:rFonts w:hint="eastAsia" w:ascii="楷体_GB2312" w:hAnsi="楷体_GB2312" w:eastAsia="楷体_GB2312" w:cs="楷体_GB2312"/>
          <w:b/>
          <w:bCs/>
          <w:szCs w:val="32"/>
        </w:rPr>
        <w:t>条</w:t>
      </w:r>
      <w:r>
        <w:rPr>
          <w:rFonts w:hint="eastAsia" w:ascii="仿宋_GB2312" w:hAnsi="仿宋_GB2312"/>
          <w:szCs w:val="32"/>
        </w:rPr>
        <w:t xml:space="preserve">  区企服中心履行以下职责：</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r>
        <w:rPr>
          <w:rFonts w:hint="eastAsia" w:ascii="仿宋_GB2312" w:hAnsi="仿宋_GB2312"/>
          <w:szCs w:val="32"/>
        </w:rPr>
        <w:t>（一）履行领导小组办公室职责，根据各资金主管部门的申请，组织召开领导小组会议</w:t>
      </w:r>
      <w:r>
        <w:rPr>
          <w:rFonts w:hint="eastAsia" w:ascii="仿宋_GB2312" w:hAnsi="仿宋_GB2312"/>
          <w:szCs w:val="32"/>
          <w:lang w:eastAsia="zh-CN"/>
        </w:rPr>
        <w:t>，</w:t>
      </w:r>
      <w:r>
        <w:rPr>
          <w:rFonts w:hint="eastAsia" w:ascii="仿宋_GB2312" w:hAnsi="宋体" w:eastAsia="仿宋_GB2312" w:cs="Times New Roman"/>
          <w:sz w:val="32"/>
          <w:szCs w:val="32"/>
          <w:lang w:val="en-US" w:eastAsia="zh-CN"/>
        </w:rPr>
        <w:t>配合完成会议纪要签发</w:t>
      </w:r>
      <w:r>
        <w:rPr>
          <w:rFonts w:hint="eastAsia" w:ascii="仿宋_GB2312" w:hAnsi="仿宋_GB2312"/>
          <w:szCs w:val="32"/>
        </w:rPr>
        <w:t>；负责领导小组会议议定事项的督办；</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r>
        <w:rPr>
          <w:rFonts w:hint="eastAsia" w:ascii="仿宋_GB2312" w:hAnsi="仿宋_GB2312"/>
          <w:szCs w:val="32"/>
        </w:rPr>
        <w:t>（二）负责专项资金管理办法文件的起草，统筹开展管理办法和</w:t>
      </w:r>
      <w:r>
        <w:rPr>
          <w:rFonts w:hint="eastAsia" w:ascii="仿宋_GB2312" w:hAnsi="仿宋_GB2312"/>
          <w:szCs w:val="32"/>
          <w:lang w:eastAsia="zh-CN"/>
        </w:rPr>
        <w:t>各项产业扶持政策措施</w:t>
      </w:r>
      <w:r>
        <w:rPr>
          <w:rFonts w:hint="eastAsia" w:ascii="仿宋_GB2312" w:hAnsi="仿宋_GB2312"/>
          <w:szCs w:val="32"/>
        </w:rPr>
        <w:t>等文件的宣讲；</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r>
        <w:rPr>
          <w:rFonts w:hint="eastAsia" w:ascii="仿宋_GB2312" w:hAnsi="仿宋_GB2312"/>
          <w:szCs w:val="32"/>
        </w:rPr>
        <w:t>（三）负责项目申报受理，通过南山区产业发展综合服务平台对申报材料进行形式审查</w:t>
      </w:r>
      <w:r>
        <w:rPr>
          <w:rFonts w:hint="eastAsia" w:ascii="仿宋_GB2312" w:hAnsi="仿宋_GB2312"/>
          <w:szCs w:val="32"/>
          <w:lang w:eastAsia="zh-CN"/>
        </w:rPr>
        <w:t>、公示；</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r>
        <w:rPr>
          <w:rFonts w:hint="eastAsia" w:ascii="仿宋_GB2312" w:hAnsi="仿宋_GB2312"/>
          <w:szCs w:val="32"/>
        </w:rPr>
        <w:t>（四）统筹各资金主管部门提交会议审议的材料，统一查询相关信息；</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r>
        <w:rPr>
          <w:rFonts w:hint="eastAsia" w:ascii="仿宋_GB2312" w:hAnsi="仿宋_GB2312"/>
          <w:szCs w:val="32"/>
        </w:rPr>
        <w:t>（五）负责管理南山区产业发展综合服务平台。</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r>
        <w:rPr>
          <w:rFonts w:hint="eastAsia" w:ascii="楷体_GB2312" w:hAnsi="楷体_GB2312" w:eastAsia="楷体_GB2312" w:cs="楷体_GB2312"/>
          <w:b/>
          <w:bCs/>
          <w:szCs w:val="32"/>
        </w:rPr>
        <w:t>第</w:t>
      </w:r>
      <w:r>
        <w:rPr>
          <w:rFonts w:hint="eastAsia" w:ascii="楷体_GB2312" w:hAnsi="楷体_GB2312" w:eastAsia="楷体_GB2312" w:cs="楷体_GB2312"/>
          <w:b/>
          <w:bCs/>
          <w:szCs w:val="32"/>
          <w:lang w:eastAsia="zh-CN"/>
        </w:rPr>
        <w:t>九</w:t>
      </w:r>
      <w:r>
        <w:rPr>
          <w:rFonts w:hint="eastAsia" w:ascii="楷体_GB2312" w:hAnsi="楷体_GB2312" w:eastAsia="楷体_GB2312" w:cs="楷体_GB2312"/>
          <w:b/>
          <w:bCs/>
          <w:szCs w:val="32"/>
        </w:rPr>
        <w:t>条</w:t>
      </w:r>
      <w:r>
        <w:rPr>
          <w:rFonts w:hint="eastAsia" w:ascii="仿宋_GB2312" w:hAnsi="仿宋_GB2312"/>
          <w:szCs w:val="32"/>
        </w:rPr>
        <w:t xml:space="preserve">  区财政局履行以下职责：</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r>
        <w:rPr>
          <w:rFonts w:hint="eastAsia" w:ascii="仿宋_GB2312" w:hAnsi="仿宋_GB2312"/>
          <w:szCs w:val="32"/>
        </w:rPr>
        <w:t>（一）在审核各资金主管部门年度资金预算及上年度决算的基础上，编制专项资金年度总预算；</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r>
        <w:rPr>
          <w:rFonts w:hint="eastAsia" w:ascii="仿宋_GB2312" w:hAnsi="仿宋_GB2312"/>
          <w:szCs w:val="32"/>
        </w:rPr>
        <w:t>（二）对各资金主管部门提交领导小组会议审议的项目</w:t>
      </w:r>
      <w:r>
        <w:rPr>
          <w:rFonts w:hint="eastAsia" w:ascii="仿宋_GB2312" w:hAnsi="仿宋_GB2312"/>
          <w:szCs w:val="32"/>
          <w:lang w:eastAsia="zh-CN"/>
        </w:rPr>
        <w:t>预算资金</w:t>
      </w:r>
      <w:r>
        <w:rPr>
          <w:rFonts w:hint="eastAsia" w:ascii="仿宋_GB2312" w:hAnsi="仿宋_GB2312"/>
          <w:szCs w:val="32"/>
        </w:rPr>
        <w:t>安排</w:t>
      </w:r>
      <w:r>
        <w:rPr>
          <w:rFonts w:hint="eastAsia" w:ascii="仿宋_GB2312" w:hAnsi="仿宋_GB2312"/>
          <w:szCs w:val="32"/>
          <w:lang w:eastAsia="zh-CN"/>
        </w:rPr>
        <w:t>及预算执行情况予以确认</w:t>
      </w:r>
      <w:r>
        <w:rPr>
          <w:rFonts w:hint="eastAsia" w:ascii="仿宋_GB2312" w:hAnsi="仿宋_GB2312"/>
          <w:szCs w:val="32"/>
        </w:rPr>
        <w:t>，核算申报企业的区级地方财力贡献，并将核算情况报领导小组办公室汇总；</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r>
        <w:rPr>
          <w:rFonts w:hint="eastAsia" w:ascii="仿宋_GB2312" w:hAnsi="仿宋_GB2312"/>
          <w:szCs w:val="32"/>
        </w:rPr>
        <w:t>（三）配合各资金主管部门下达项目资助计划，及时安排资金；</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r>
        <w:rPr>
          <w:rFonts w:hint="eastAsia" w:ascii="仿宋_GB2312" w:hAnsi="仿宋_GB2312"/>
          <w:szCs w:val="32"/>
        </w:rPr>
        <w:t>（四）</w:t>
      </w:r>
      <w:r>
        <w:rPr>
          <w:rFonts w:hint="default" w:ascii="仿宋_GB2312"/>
          <w:szCs w:val="32"/>
          <w:lang w:val="en-US" w:eastAsia="zh-CN"/>
        </w:rPr>
        <w:t>组织实施专项资金财政监督</w:t>
      </w:r>
      <w:r>
        <w:rPr>
          <w:rFonts w:hint="eastAsia" w:ascii="仿宋_GB2312" w:hAnsi="仿宋_GB2312"/>
          <w:szCs w:val="32"/>
        </w:rPr>
        <w:t>，</w:t>
      </w:r>
      <w:r>
        <w:rPr>
          <w:rFonts w:hint="default" w:ascii="仿宋_GB2312"/>
          <w:szCs w:val="32"/>
          <w:lang w:val="en-US" w:eastAsia="zh-CN"/>
        </w:rPr>
        <w:t>根据需要组织开展专项资金重点绩效评价和再评价</w:t>
      </w:r>
      <w:r>
        <w:rPr>
          <w:rFonts w:hint="eastAsia" w:ascii="仿宋_GB2312" w:hAnsi="仿宋_GB2312"/>
          <w:szCs w:val="32"/>
        </w:rPr>
        <w:t>。</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r>
        <w:rPr>
          <w:rFonts w:hint="eastAsia" w:ascii="楷体_GB2312" w:hAnsi="楷体_GB2312" w:eastAsia="楷体_GB2312" w:cs="楷体_GB2312"/>
          <w:b/>
          <w:bCs/>
          <w:szCs w:val="32"/>
        </w:rPr>
        <w:t>第</w:t>
      </w:r>
      <w:r>
        <w:rPr>
          <w:rFonts w:hint="eastAsia" w:ascii="楷体_GB2312" w:hAnsi="楷体_GB2312" w:eastAsia="楷体_GB2312" w:cs="楷体_GB2312"/>
          <w:b/>
          <w:bCs/>
          <w:szCs w:val="32"/>
          <w:lang w:eastAsia="zh-CN"/>
        </w:rPr>
        <w:t>十</w:t>
      </w:r>
      <w:r>
        <w:rPr>
          <w:rFonts w:hint="eastAsia" w:ascii="楷体_GB2312" w:hAnsi="楷体_GB2312" w:eastAsia="楷体_GB2312" w:cs="楷体_GB2312"/>
          <w:b/>
          <w:bCs/>
          <w:szCs w:val="32"/>
        </w:rPr>
        <w:t>条</w:t>
      </w:r>
      <w:r>
        <w:rPr>
          <w:rFonts w:hint="eastAsia" w:ascii="仿宋_GB2312" w:hAnsi="仿宋_GB2312"/>
          <w:szCs w:val="32"/>
        </w:rPr>
        <w:t xml:space="preserve">  各资金主管部门履行以下职责：</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r>
        <w:rPr>
          <w:rFonts w:hint="eastAsia" w:ascii="仿宋_GB2312" w:hAnsi="仿宋_GB2312"/>
          <w:szCs w:val="32"/>
        </w:rPr>
        <w:t>（一）制定</w:t>
      </w:r>
      <w:r>
        <w:rPr>
          <w:rFonts w:hint="eastAsia" w:ascii="仿宋_GB2312" w:hAnsi="仿宋_GB2312"/>
          <w:szCs w:val="32"/>
          <w:lang w:eastAsia="zh-CN"/>
        </w:rPr>
        <w:t>各项产业扶持政策措施</w:t>
      </w:r>
      <w:r>
        <w:rPr>
          <w:rFonts w:hint="eastAsia" w:ascii="仿宋_GB2312" w:hAnsi="仿宋_GB2312"/>
          <w:szCs w:val="32"/>
        </w:rPr>
        <w:t>、操作规程；</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r>
        <w:rPr>
          <w:rFonts w:hint="eastAsia" w:ascii="仿宋_GB2312" w:hAnsi="仿宋_GB2312"/>
          <w:szCs w:val="32"/>
        </w:rPr>
        <w:t>（二）编制和执行本部门专项资金年度预算及使用计划，并根据实际情况对预算提出调整；</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r>
        <w:rPr>
          <w:rFonts w:hint="eastAsia" w:ascii="仿宋_GB2312" w:hAnsi="仿宋_GB2312"/>
          <w:szCs w:val="32"/>
        </w:rPr>
        <w:t>（</w:t>
      </w:r>
      <w:r>
        <w:rPr>
          <w:rFonts w:hint="eastAsia" w:ascii="仿宋_GB2312" w:hAnsi="仿宋_GB2312"/>
          <w:szCs w:val="32"/>
          <w:lang w:eastAsia="zh-CN"/>
        </w:rPr>
        <w:t>三</w:t>
      </w:r>
      <w:r>
        <w:rPr>
          <w:rFonts w:hint="eastAsia" w:ascii="仿宋_GB2312" w:hAnsi="仿宋_GB2312"/>
          <w:szCs w:val="32"/>
        </w:rPr>
        <w:t>）审核项目申请，组织开展项目考察、评审和核准工作，提出资金支持意见，处理项目申报单位的</w:t>
      </w:r>
      <w:r>
        <w:rPr>
          <w:rFonts w:hint="eastAsia" w:ascii="仿宋_GB2312" w:hAnsi="仿宋_GB2312"/>
          <w:szCs w:val="32"/>
          <w:lang w:eastAsia="zh-CN"/>
        </w:rPr>
        <w:t>咨询</w:t>
      </w:r>
      <w:r>
        <w:rPr>
          <w:rFonts w:hint="eastAsia" w:ascii="仿宋_GB2312" w:hAnsi="仿宋_GB2312"/>
          <w:szCs w:val="32"/>
        </w:rPr>
        <w:t>和投诉；</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r>
        <w:rPr>
          <w:rFonts w:hint="eastAsia" w:ascii="仿宋_GB2312" w:hAnsi="仿宋_GB2312"/>
          <w:szCs w:val="32"/>
        </w:rPr>
        <w:t>（</w:t>
      </w:r>
      <w:r>
        <w:rPr>
          <w:rFonts w:hint="eastAsia" w:ascii="仿宋_GB2312" w:hAnsi="仿宋_GB2312"/>
          <w:szCs w:val="32"/>
          <w:lang w:eastAsia="zh-CN"/>
        </w:rPr>
        <w:t>四</w:t>
      </w:r>
      <w:r>
        <w:rPr>
          <w:rFonts w:hint="eastAsia" w:ascii="仿宋_GB2312" w:hAnsi="仿宋_GB2312"/>
          <w:szCs w:val="32"/>
        </w:rPr>
        <w:t>）</w:t>
      </w:r>
      <w:r>
        <w:rPr>
          <w:rFonts w:hint="eastAsia" w:ascii="仿宋_GB2312" w:hAnsi="仿宋_GB2312"/>
          <w:szCs w:val="32"/>
          <w:lang w:eastAsia="zh-CN"/>
        </w:rPr>
        <w:t>组织召开专责小组会议，</w:t>
      </w:r>
      <w:r>
        <w:rPr>
          <w:rFonts w:hint="eastAsia" w:ascii="仿宋_GB2312" w:hAnsi="宋体" w:eastAsia="仿宋_GB2312" w:cs="Times New Roman"/>
          <w:sz w:val="32"/>
          <w:szCs w:val="32"/>
          <w:lang w:val="en-US" w:eastAsia="zh-CN"/>
        </w:rPr>
        <w:t>配合完成会议纪要签发。</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r>
        <w:rPr>
          <w:rFonts w:hint="eastAsia" w:ascii="仿宋_GB2312" w:hAnsi="仿宋_GB2312"/>
          <w:szCs w:val="32"/>
        </w:rPr>
        <w:t>（</w:t>
      </w:r>
      <w:r>
        <w:rPr>
          <w:rFonts w:hint="eastAsia" w:ascii="仿宋_GB2312" w:hAnsi="仿宋_GB2312"/>
          <w:szCs w:val="32"/>
          <w:lang w:eastAsia="zh-CN"/>
        </w:rPr>
        <w:t>五</w:t>
      </w:r>
      <w:r>
        <w:rPr>
          <w:rFonts w:hint="eastAsia" w:ascii="仿宋_GB2312" w:hAnsi="仿宋_GB2312"/>
          <w:szCs w:val="32"/>
        </w:rPr>
        <w:t>）对事前资助项目的资金使用情况进行监督管理、项目完成情况进行验收，将企业违规申报和使用专项资金情况及时反馈领导小组办公室；</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r>
        <w:rPr>
          <w:rFonts w:hint="eastAsia" w:ascii="仿宋_GB2312" w:hAnsi="仿宋_GB2312"/>
          <w:szCs w:val="32"/>
        </w:rPr>
        <w:t>（</w:t>
      </w:r>
      <w:r>
        <w:rPr>
          <w:rFonts w:hint="eastAsia" w:ascii="仿宋_GB2312" w:hAnsi="仿宋_GB2312"/>
          <w:szCs w:val="32"/>
          <w:lang w:eastAsia="zh-CN"/>
        </w:rPr>
        <w:t>六</w:t>
      </w:r>
      <w:r>
        <w:rPr>
          <w:rFonts w:hint="eastAsia" w:ascii="仿宋_GB2312" w:hAnsi="仿宋_GB2312"/>
          <w:szCs w:val="32"/>
        </w:rPr>
        <w:t>）组织开展分项资金使用绩效评价。</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r>
        <w:rPr>
          <w:rFonts w:hint="eastAsia" w:ascii="楷体_GB2312" w:hAnsi="楷体_GB2312" w:eastAsia="楷体_GB2312" w:cs="楷体_GB2312"/>
          <w:b/>
          <w:bCs/>
          <w:szCs w:val="32"/>
        </w:rPr>
        <w:t>第十</w:t>
      </w:r>
      <w:r>
        <w:rPr>
          <w:rFonts w:hint="eastAsia" w:ascii="楷体_GB2312" w:hAnsi="楷体_GB2312" w:eastAsia="楷体_GB2312" w:cs="楷体_GB2312"/>
          <w:b/>
          <w:bCs/>
          <w:szCs w:val="32"/>
          <w:lang w:eastAsia="zh-CN"/>
        </w:rPr>
        <w:t>一</w:t>
      </w:r>
      <w:r>
        <w:rPr>
          <w:rFonts w:hint="eastAsia" w:ascii="楷体_GB2312" w:hAnsi="楷体_GB2312" w:eastAsia="楷体_GB2312" w:cs="楷体_GB2312"/>
          <w:b/>
          <w:bCs/>
          <w:szCs w:val="32"/>
        </w:rPr>
        <w:t>条</w:t>
      </w:r>
      <w:r>
        <w:rPr>
          <w:rFonts w:hint="eastAsia" w:ascii="仿宋_GB2312" w:hAnsi="仿宋_GB2312"/>
          <w:szCs w:val="32"/>
        </w:rPr>
        <w:t xml:space="preserve">  其它成员单位履行以下职责：</w:t>
      </w:r>
    </w:p>
    <w:p>
      <w:pPr>
        <w:keepNext w:val="0"/>
        <w:keepLines w:val="0"/>
        <w:pageBreakBefore w:val="0"/>
        <w:widowControl w:val="0"/>
        <w:wordWrap/>
        <w:topLinePunct w:val="0"/>
        <w:bidi w:val="0"/>
        <w:spacing w:beforeAutospacing="0" w:afterAutospacing="0" w:line="560" w:lineRule="exact"/>
        <w:ind w:left="0" w:leftChars="0" w:firstLine="645"/>
        <w:rPr>
          <w:rFonts w:hint="eastAsia" w:ascii="仿宋_GB2312" w:hAnsi="仿宋_GB2312" w:eastAsia="仿宋_GB2312"/>
          <w:szCs w:val="32"/>
          <w:lang w:eastAsia="zh-CN"/>
        </w:rPr>
      </w:pPr>
      <w:r>
        <w:rPr>
          <w:rFonts w:hint="eastAsia" w:ascii="仿宋_GB2312" w:hAnsi="仿宋_GB2312" w:eastAsia="仿宋_GB2312"/>
          <w:szCs w:val="32"/>
        </w:rPr>
        <w:t>（</w:t>
      </w:r>
      <w:r>
        <w:rPr>
          <w:rFonts w:hint="eastAsia" w:ascii="仿宋_GB2312" w:hAnsi="仿宋_GB2312" w:eastAsia="仿宋_GB2312"/>
          <w:szCs w:val="32"/>
          <w:lang w:eastAsia="zh-CN"/>
        </w:rPr>
        <w:t>一</w:t>
      </w:r>
      <w:r>
        <w:rPr>
          <w:rFonts w:hint="eastAsia" w:ascii="仿宋_GB2312" w:hAnsi="仿宋_GB2312" w:eastAsia="仿宋_GB2312"/>
          <w:szCs w:val="32"/>
        </w:rPr>
        <w:t>）区司法局：负责对专项资金政策的合规性进行审查</w:t>
      </w:r>
      <w:r>
        <w:rPr>
          <w:rFonts w:hint="eastAsia" w:ascii="仿宋_GB2312" w:hAnsi="仿宋_GB2312" w:eastAsia="仿宋_GB2312"/>
          <w:szCs w:val="32"/>
          <w:lang w:eastAsia="zh-CN"/>
        </w:rPr>
        <w:t>；</w:t>
      </w:r>
    </w:p>
    <w:p>
      <w:pPr>
        <w:keepNext w:val="0"/>
        <w:keepLines w:val="0"/>
        <w:pageBreakBefore w:val="0"/>
        <w:widowControl w:val="0"/>
        <w:wordWrap/>
        <w:topLinePunct w:val="0"/>
        <w:bidi w:val="0"/>
        <w:spacing w:beforeAutospacing="0" w:afterAutospacing="0" w:line="560" w:lineRule="exact"/>
        <w:ind w:left="0" w:leftChars="0" w:firstLine="645"/>
        <w:rPr>
          <w:rFonts w:hint="eastAsia" w:ascii="仿宋_GB2312" w:hAnsi="仿宋_GB2312"/>
          <w:szCs w:val="32"/>
        </w:rPr>
      </w:pPr>
      <w:r>
        <w:rPr>
          <w:rFonts w:hint="eastAsia" w:ascii="仿宋_GB2312" w:hAnsi="仿宋_GB2312" w:eastAsia="仿宋_GB2312"/>
          <w:szCs w:val="32"/>
        </w:rPr>
        <w:t>（二）区统计局：负责对申报企业在地统计开展情况进行核查，配合各资金主管部门审查相关统计数据，协助开展专项资金绩效评价工作；</w:t>
      </w:r>
    </w:p>
    <w:p>
      <w:pPr>
        <w:keepNext w:val="0"/>
        <w:keepLines w:val="0"/>
        <w:pageBreakBefore w:val="0"/>
        <w:widowControl w:val="0"/>
        <w:wordWrap/>
        <w:topLinePunct w:val="0"/>
        <w:bidi w:val="0"/>
        <w:spacing w:beforeAutospacing="0" w:afterAutospacing="0" w:line="560" w:lineRule="exact"/>
        <w:ind w:left="0" w:leftChars="0" w:firstLine="645"/>
        <w:rPr>
          <w:rFonts w:hint="eastAsia" w:ascii="仿宋_GB2312" w:hAnsi="仿宋_GB2312"/>
          <w:szCs w:val="32"/>
          <w:lang w:eastAsia="zh-CN"/>
        </w:rPr>
      </w:pPr>
      <w:r>
        <w:rPr>
          <w:rFonts w:hint="eastAsia" w:ascii="仿宋_GB2312" w:hAnsi="仿宋_GB2312"/>
          <w:szCs w:val="32"/>
        </w:rPr>
        <w:t>（</w:t>
      </w:r>
      <w:r>
        <w:rPr>
          <w:rFonts w:hint="eastAsia" w:ascii="仿宋_GB2312" w:hAnsi="仿宋_GB2312"/>
          <w:szCs w:val="32"/>
          <w:lang w:eastAsia="zh-CN"/>
        </w:rPr>
        <w:t>三</w:t>
      </w:r>
      <w:r>
        <w:rPr>
          <w:rFonts w:hint="eastAsia" w:ascii="仿宋_GB2312" w:hAnsi="仿宋_GB2312"/>
          <w:szCs w:val="32"/>
        </w:rPr>
        <w:t>）区政务服务数据管理局：</w:t>
      </w:r>
      <w:r>
        <w:rPr>
          <w:rFonts w:hint="eastAsia" w:ascii="仿宋_GB2312" w:hAnsi="仿宋_GB2312"/>
          <w:szCs w:val="32"/>
          <w:lang w:eastAsia="zh-CN"/>
        </w:rPr>
        <w:t>负责</w:t>
      </w:r>
      <w:r>
        <w:rPr>
          <w:rFonts w:hint="eastAsia" w:ascii="仿宋_GB2312" w:hAnsi="仿宋_GB2312"/>
          <w:szCs w:val="32"/>
        </w:rPr>
        <w:t>统筹政务数据的归集、管理，推进政务数据资源共享和开放</w:t>
      </w:r>
      <w:r>
        <w:rPr>
          <w:rFonts w:hint="eastAsia" w:ascii="仿宋_GB2312" w:hAnsi="仿宋_GB2312"/>
          <w:szCs w:val="32"/>
          <w:lang w:eastAsia="zh-CN"/>
        </w:rPr>
        <w:t>，为企业画好像，建立“一企一档”信息资源库，精准掌握企业信息。</w:t>
      </w:r>
    </w:p>
    <w:p>
      <w:pPr>
        <w:keepNext w:val="0"/>
        <w:keepLines w:val="0"/>
        <w:pageBreakBefore w:val="0"/>
        <w:widowControl w:val="0"/>
        <w:wordWrap/>
        <w:topLinePunct w:val="0"/>
        <w:bidi w:val="0"/>
        <w:spacing w:beforeAutospacing="0" w:afterAutospacing="0" w:line="560" w:lineRule="exact"/>
        <w:ind w:left="0" w:leftChars="0" w:firstLine="645"/>
        <w:rPr>
          <w:rFonts w:ascii="黑体" w:hAnsi="黑体" w:eastAsia="黑体"/>
          <w:szCs w:val="32"/>
        </w:rPr>
      </w:pPr>
    </w:p>
    <w:p>
      <w:pPr>
        <w:keepNext w:val="0"/>
        <w:keepLines w:val="0"/>
        <w:pageBreakBefore w:val="0"/>
        <w:widowControl w:val="0"/>
        <w:wordWrap/>
        <w:topLinePunct w:val="0"/>
        <w:bidi w:val="0"/>
        <w:spacing w:beforeAutospacing="0" w:afterAutospacing="0" w:line="560" w:lineRule="exact"/>
        <w:ind w:left="0" w:leftChars="0"/>
        <w:jc w:val="center"/>
        <w:rPr>
          <w:rFonts w:ascii="黑体" w:hAnsi="黑体" w:eastAsia="黑体"/>
          <w:szCs w:val="32"/>
        </w:rPr>
      </w:pPr>
      <w:r>
        <w:rPr>
          <w:rFonts w:hint="eastAsia" w:ascii="黑体" w:hAnsi="黑体" w:eastAsia="黑体"/>
          <w:szCs w:val="32"/>
        </w:rPr>
        <w:t>第三章  专项资金的安排与管理</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p>
    <w:p>
      <w:pPr>
        <w:keepNext w:val="0"/>
        <w:keepLines w:val="0"/>
        <w:pageBreakBefore w:val="0"/>
        <w:widowControl w:val="0"/>
        <w:wordWrap/>
        <w:topLinePunct w:val="0"/>
        <w:bidi w:val="0"/>
        <w:spacing w:beforeAutospacing="0" w:afterAutospacing="0" w:line="560" w:lineRule="exact"/>
        <w:ind w:left="0" w:leftChars="0" w:firstLine="645"/>
        <w:rPr>
          <w:rFonts w:hint="eastAsia" w:ascii="仿宋_GB2312" w:hAnsi="仿宋_GB2312"/>
          <w:szCs w:val="32"/>
        </w:rPr>
      </w:pPr>
      <w:r>
        <w:rPr>
          <w:rFonts w:hint="eastAsia" w:ascii="楷体_GB2312" w:hAnsi="楷体_GB2312" w:eastAsia="楷体_GB2312" w:cs="楷体_GB2312"/>
          <w:b/>
          <w:bCs/>
          <w:szCs w:val="32"/>
        </w:rPr>
        <w:t>第</w:t>
      </w:r>
      <w:r>
        <w:rPr>
          <w:rFonts w:hint="eastAsia" w:ascii="楷体_GB2312" w:hAnsi="楷体_GB2312" w:eastAsia="楷体_GB2312" w:cs="楷体_GB2312"/>
          <w:b/>
          <w:bCs/>
          <w:szCs w:val="32"/>
          <w:lang w:eastAsia="zh-CN"/>
        </w:rPr>
        <w:t>十二</w:t>
      </w:r>
      <w:r>
        <w:rPr>
          <w:rFonts w:hint="eastAsia" w:ascii="楷体_GB2312" w:hAnsi="楷体_GB2312" w:eastAsia="楷体_GB2312" w:cs="楷体_GB2312"/>
          <w:b/>
          <w:bCs/>
          <w:szCs w:val="32"/>
        </w:rPr>
        <w:t>条</w:t>
      </w:r>
      <w:r>
        <w:rPr>
          <w:rFonts w:hint="eastAsia" w:ascii="仿宋_GB2312" w:hAnsi="仿宋_GB2312"/>
          <w:b/>
          <w:bCs/>
          <w:szCs w:val="32"/>
        </w:rPr>
        <w:t xml:space="preserve">  </w:t>
      </w:r>
      <w:r>
        <w:rPr>
          <w:rFonts w:hint="eastAsia" w:ascii="仿宋_GB2312" w:hAnsi="仿宋_GB2312"/>
          <w:szCs w:val="32"/>
        </w:rPr>
        <w:t>专项资金按规定实行预算</w:t>
      </w:r>
      <w:r>
        <w:rPr>
          <w:rFonts w:hint="eastAsia" w:ascii="仿宋_GB2312" w:hAnsi="仿宋_GB2312"/>
          <w:szCs w:val="32"/>
          <w:lang w:eastAsia="zh-CN"/>
        </w:rPr>
        <w:t>安排</w:t>
      </w:r>
    </w:p>
    <w:p>
      <w:pPr>
        <w:keepNext w:val="0"/>
        <w:keepLines w:val="0"/>
        <w:pageBreakBefore w:val="0"/>
        <w:widowControl w:val="0"/>
        <w:wordWrap/>
        <w:topLinePunct w:val="0"/>
        <w:bidi w:val="0"/>
        <w:spacing w:beforeAutospacing="0" w:afterAutospacing="0" w:line="560" w:lineRule="exact"/>
        <w:ind w:left="0" w:leftChars="0" w:firstLine="645"/>
        <w:rPr>
          <w:rFonts w:hint="eastAsia" w:ascii="仿宋_GB2312" w:hAnsi="仿宋_GB2312"/>
          <w:szCs w:val="32"/>
        </w:rPr>
      </w:pPr>
      <w:r>
        <w:rPr>
          <w:rFonts w:hint="eastAsia" w:ascii="仿宋_GB2312" w:hAnsi="仿宋_GB2312"/>
          <w:szCs w:val="32"/>
        </w:rPr>
        <w:t>（一）各资金主管部门根据国家、省、市最新政策精神及上年度资助情况，编制下一年度产业发展引导方案，确定专项资金支持的方向、结构、重点</w:t>
      </w:r>
      <w:r>
        <w:rPr>
          <w:rFonts w:hint="eastAsia" w:ascii="仿宋_GB2312" w:hAnsi="仿宋_GB2312"/>
          <w:szCs w:val="32"/>
          <w:lang w:eastAsia="zh-CN"/>
        </w:rPr>
        <w:t>及规模</w:t>
      </w:r>
      <w:r>
        <w:rPr>
          <w:rFonts w:hint="eastAsia" w:ascii="仿宋_GB2312" w:hAnsi="仿宋_GB2312"/>
          <w:szCs w:val="32"/>
        </w:rPr>
        <w:t>。</w:t>
      </w:r>
    </w:p>
    <w:p>
      <w:pPr>
        <w:keepNext w:val="0"/>
        <w:keepLines w:val="0"/>
        <w:pageBreakBefore w:val="0"/>
        <w:widowControl w:val="0"/>
        <w:wordWrap/>
        <w:topLinePunct w:val="0"/>
        <w:bidi w:val="0"/>
        <w:spacing w:beforeAutospacing="0" w:afterAutospacing="0" w:line="560" w:lineRule="exact"/>
        <w:ind w:left="0" w:leftChars="0" w:firstLine="645"/>
        <w:rPr>
          <w:rFonts w:hint="eastAsia" w:ascii="仿宋_GB2312" w:hAnsi="仿宋_GB2312"/>
          <w:szCs w:val="32"/>
        </w:rPr>
      </w:pPr>
      <w:r>
        <w:rPr>
          <w:rFonts w:hint="eastAsia" w:ascii="仿宋_GB2312" w:hAnsi="仿宋_GB2312"/>
          <w:szCs w:val="32"/>
        </w:rPr>
        <w:t>（二）区财政局根据各资金主管部门产业发展引导方案，结合下一年度财政收支预算和经济发展目标，提出专项资金预算总规模和各项产业扶持政策措施资金预算安排意见，一并纳入区年度预算草案，按规定程序报批。</w:t>
      </w:r>
    </w:p>
    <w:p>
      <w:pPr>
        <w:keepNext w:val="0"/>
        <w:keepLines w:val="0"/>
        <w:pageBreakBefore w:val="0"/>
        <w:widowControl w:val="0"/>
        <w:wordWrap/>
        <w:topLinePunct w:val="0"/>
        <w:bidi w:val="0"/>
        <w:spacing w:beforeAutospacing="0" w:afterAutospacing="0" w:line="560" w:lineRule="exact"/>
        <w:ind w:left="0" w:leftChars="0" w:firstLine="645"/>
        <w:rPr>
          <w:rFonts w:hint="eastAsia" w:ascii="仿宋_GB2312" w:hAnsi="仿宋_GB2312"/>
          <w:szCs w:val="32"/>
        </w:rPr>
      </w:pPr>
      <w:r>
        <w:rPr>
          <w:rFonts w:hint="eastAsia" w:ascii="仿宋_GB2312" w:hAnsi="仿宋_GB2312"/>
          <w:szCs w:val="32"/>
        </w:rPr>
        <w:t>（三）各资金主管部门依据各项产业扶持政策措施，在批复的各项产业扶持政策措施预算额度内进行合理分解。按照年度预算编制程序结合上一年度专项资金预算执行情况、绩效目标完成情况和下一年度任务目标，按照预算编制要求制定各项产业扶持政策措施年度使用计划。年初预算编制时需提交年初产业引导方案、年度绩效目标、绩效目标评价体系，同部门预算一并报区财政局。</w:t>
      </w:r>
    </w:p>
    <w:p>
      <w:pPr>
        <w:keepNext w:val="0"/>
        <w:keepLines w:val="0"/>
        <w:pageBreakBefore w:val="0"/>
        <w:widowControl w:val="0"/>
        <w:wordWrap/>
        <w:topLinePunct w:val="0"/>
        <w:bidi w:val="0"/>
        <w:spacing w:beforeAutospacing="0" w:afterAutospacing="0" w:line="560" w:lineRule="exact"/>
        <w:ind w:left="0" w:leftChars="0" w:firstLine="645"/>
        <w:rPr>
          <w:rFonts w:hint="eastAsia" w:ascii="仿宋_GB2312" w:hAnsi="仿宋_GB2312" w:eastAsia="仿宋_GB2312"/>
          <w:szCs w:val="32"/>
        </w:rPr>
      </w:pPr>
      <w:r>
        <w:rPr>
          <w:rFonts w:hint="eastAsia" w:ascii="仿宋_GB2312" w:hAnsi="仿宋_GB2312"/>
          <w:szCs w:val="32"/>
        </w:rPr>
        <w:t>（四）同一项产业扶持政策措施资金内不同扶持类别的资金额度，可由各资金主管部门按实际需求和使用情况在各自预算额度内统筹调配。</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r>
        <w:rPr>
          <w:rFonts w:hint="eastAsia" w:ascii="楷体_GB2312" w:hAnsi="楷体_GB2312" w:eastAsia="楷体_GB2312" w:cs="楷体_GB2312"/>
          <w:b/>
          <w:bCs/>
          <w:szCs w:val="32"/>
        </w:rPr>
        <w:t>第十</w:t>
      </w:r>
      <w:r>
        <w:rPr>
          <w:rFonts w:hint="eastAsia" w:ascii="楷体_GB2312" w:hAnsi="楷体_GB2312" w:eastAsia="楷体_GB2312" w:cs="楷体_GB2312"/>
          <w:b/>
          <w:bCs/>
          <w:szCs w:val="32"/>
          <w:lang w:eastAsia="zh-CN"/>
        </w:rPr>
        <w:t>三</w:t>
      </w:r>
      <w:r>
        <w:rPr>
          <w:rFonts w:hint="eastAsia" w:ascii="楷体_GB2312" w:hAnsi="楷体_GB2312" w:eastAsia="楷体_GB2312" w:cs="楷体_GB2312"/>
          <w:b/>
          <w:bCs/>
          <w:szCs w:val="32"/>
        </w:rPr>
        <w:t>条</w:t>
      </w:r>
      <w:r>
        <w:rPr>
          <w:rFonts w:hint="eastAsia" w:ascii="仿宋_GB2312" w:hAnsi="仿宋_GB2312"/>
          <w:szCs w:val="32"/>
        </w:rPr>
        <w:t xml:space="preserve">  坚持总量控制的原则</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r>
        <w:rPr>
          <w:rFonts w:hint="eastAsia" w:ascii="仿宋_GB2312" w:hAnsi="仿宋_GB2312"/>
          <w:szCs w:val="32"/>
        </w:rPr>
        <w:t>（一）</w:t>
      </w:r>
      <w:r>
        <w:rPr>
          <w:rFonts w:hint="eastAsia" w:ascii="仿宋_GB2312" w:hAnsi="仿宋_GB2312"/>
          <w:szCs w:val="32"/>
          <w:lang w:eastAsia="zh-CN"/>
        </w:rPr>
        <w:t>每家单位</w:t>
      </w:r>
      <w:r>
        <w:rPr>
          <w:rFonts w:hint="eastAsia" w:ascii="仿宋_GB2312" w:hAnsi="仿宋_GB2312"/>
          <w:szCs w:val="32"/>
        </w:rPr>
        <w:t>单个扶持项目资助金额原则上不得超过1000万元；</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r>
        <w:rPr>
          <w:rFonts w:hint="eastAsia" w:ascii="仿宋_GB2312" w:hAnsi="仿宋_GB2312"/>
          <w:szCs w:val="32"/>
        </w:rPr>
        <w:t>（二）同一项目不得重复申请资金扶持</w:t>
      </w:r>
      <w:r>
        <w:rPr>
          <w:rFonts w:hint="eastAsia" w:ascii="仿宋_GB2312" w:hAnsi="仿宋_GB2312"/>
          <w:szCs w:val="32"/>
          <w:lang w:eastAsia="zh-CN"/>
        </w:rPr>
        <w:t>（</w:t>
      </w:r>
      <w:r>
        <w:rPr>
          <w:rFonts w:hint="eastAsia" w:ascii="仿宋_GB2312" w:hAnsi="仿宋_GB2312"/>
          <w:szCs w:val="32"/>
        </w:rPr>
        <w:t>含前海合作区制定的同类性质扶持政策</w:t>
      </w:r>
      <w:r>
        <w:rPr>
          <w:rFonts w:hint="eastAsia" w:ascii="仿宋_GB2312" w:hAnsi="仿宋_GB2312"/>
          <w:szCs w:val="32"/>
          <w:lang w:eastAsia="zh-CN"/>
        </w:rPr>
        <w:t>）</w:t>
      </w:r>
      <w:r>
        <w:rPr>
          <w:rFonts w:hint="eastAsia" w:ascii="仿宋_GB2312" w:hAnsi="仿宋_GB2312"/>
          <w:szCs w:val="32"/>
        </w:rPr>
        <w:t>；</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r>
        <w:rPr>
          <w:rFonts w:hint="eastAsia" w:ascii="仿宋_GB2312" w:hAnsi="仿宋_GB2312"/>
          <w:szCs w:val="32"/>
        </w:rPr>
        <w:t>（三）专项资金评审类资助，同一单位每一年度资助项目不得超过一个，连续资助原则上不得超过</w:t>
      </w:r>
      <w:r>
        <w:rPr>
          <w:rFonts w:hint="eastAsia" w:ascii="仿宋_GB2312" w:hAnsi="仿宋_GB2312"/>
          <w:szCs w:val="32"/>
          <w:lang w:eastAsia="zh-CN"/>
        </w:rPr>
        <w:t>五</w:t>
      </w:r>
      <w:r>
        <w:rPr>
          <w:rFonts w:hint="eastAsia" w:ascii="仿宋_GB2312" w:hAnsi="仿宋_GB2312"/>
          <w:szCs w:val="32"/>
        </w:rPr>
        <w:t>年；</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r>
        <w:rPr>
          <w:rFonts w:hint="eastAsia" w:ascii="仿宋_GB2312" w:hAnsi="仿宋_GB2312"/>
          <w:szCs w:val="32"/>
        </w:rPr>
        <w:t>（四）每家单位同一年度获得的资助金额原则上不超过其上一年度形成的区级地方财力贡献。</w:t>
      </w:r>
      <w:r>
        <w:rPr>
          <w:rFonts w:ascii="仿宋_GB2312" w:hAnsi="仿宋_GB2312"/>
          <w:szCs w:val="32"/>
        </w:rPr>
        <w:t xml:space="preserve"> </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r>
        <w:rPr>
          <w:rFonts w:hint="eastAsia" w:ascii="仿宋_GB2312" w:hAnsi="仿宋_GB2312"/>
          <w:szCs w:val="32"/>
        </w:rPr>
        <w:t>对于超过上述限制，但资金主管部门认为确实有必要增加资助的，该资金主管部门应向领导小组会议提交专项申请。</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r>
        <w:rPr>
          <w:rFonts w:hint="eastAsia" w:ascii="仿宋_GB2312" w:hAnsi="仿宋_GB2312"/>
          <w:szCs w:val="32"/>
        </w:rPr>
        <w:t>除外情形：</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r>
        <w:rPr>
          <w:rFonts w:hint="eastAsia" w:ascii="仿宋_GB2312" w:hAnsi="仿宋_GB2312"/>
          <w:szCs w:val="32"/>
        </w:rPr>
        <w:t>（一）各产业扶持政策措施或其操作规程中</w:t>
      </w:r>
      <w:r>
        <w:rPr>
          <w:rFonts w:hint="eastAsia" w:ascii="仿宋_GB2312" w:hAnsi="仿宋_GB2312"/>
          <w:szCs w:val="32"/>
          <w:lang w:eastAsia="zh-CN"/>
        </w:rPr>
        <w:t>对</w:t>
      </w:r>
      <w:r>
        <w:rPr>
          <w:rFonts w:hint="eastAsia" w:ascii="仿宋_GB2312" w:hAnsi="仿宋_GB2312"/>
          <w:szCs w:val="32"/>
        </w:rPr>
        <w:t>不受本条第一款第一项资助金额限制</w:t>
      </w:r>
      <w:r>
        <w:rPr>
          <w:rFonts w:hint="eastAsia" w:ascii="仿宋_GB2312" w:hAnsi="仿宋_GB2312"/>
          <w:szCs w:val="32"/>
          <w:lang w:eastAsia="zh-CN"/>
        </w:rPr>
        <w:t>的扶持项目，应</w:t>
      </w:r>
      <w:r>
        <w:rPr>
          <w:rFonts w:hint="eastAsia" w:ascii="仿宋_GB2312" w:hAnsi="仿宋_GB2312"/>
          <w:szCs w:val="32"/>
        </w:rPr>
        <w:t>另行作出明确规定；</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r>
        <w:rPr>
          <w:rFonts w:hint="eastAsia" w:ascii="仿宋_GB2312" w:hAnsi="仿宋_GB2312"/>
          <w:szCs w:val="32"/>
        </w:rPr>
        <w:t>（二）个人申请者，行业协会、科研院校等非营利性机构，及各</w:t>
      </w:r>
      <w:r>
        <w:rPr>
          <w:rFonts w:hint="eastAsia" w:ascii="仿宋_GB2312" w:hAnsi="仿宋_GB2312"/>
          <w:szCs w:val="32"/>
          <w:lang w:eastAsia="zh-CN"/>
        </w:rPr>
        <w:t>产业扶持政策措施或其操作规程</w:t>
      </w:r>
      <w:r>
        <w:rPr>
          <w:rFonts w:hint="eastAsia" w:ascii="仿宋_GB2312" w:hAnsi="仿宋_GB2312"/>
          <w:szCs w:val="32"/>
        </w:rPr>
        <w:t>中规定的除外项目不受本条第一款第四项的限制。</w:t>
      </w:r>
    </w:p>
    <w:p>
      <w:pPr>
        <w:keepNext w:val="0"/>
        <w:keepLines w:val="0"/>
        <w:pageBreakBefore w:val="0"/>
        <w:widowControl w:val="0"/>
        <w:wordWrap/>
        <w:topLinePunct w:val="0"/>
        <w:bidi w:val="0"/>
        <w:spacing w:beforeAutospacing="0" w:afterAutospacing="0" w:line="560" w:lineRule="exact"/>
        <w:ind w:left="0" w:leftChars="0" w:firstLine="645"/>
        <w:rPr>
          <w:rFonts w:hint="eastAsia" w:ascii="仿宋_GB2312" w:hAnsi="仿宋_GB2312"/>
          <w:szCs w:val="32"/>
          <w:highlight w:val="none"/>
        </w:rPr>
      </w:pPr>
      <w:r>
        <w:rPr>
          <w:rFonts w:hint="eastAsia" w:ascii="楷体_GB2312" w:hAnsi="楷体_GB2312" w:eastAsia="楷体_GB2312" w:cs="楷体_GB2312"/>
          <w:b/>
          <w:bCs/>
          <w:szCs w:val="32"/>
        </w:rPr>
        <w:t>第十</w:t>
      </w:r>
      <w:r>
        <w:rPr>
          <w:rFonts w:hint="eastAsia" w:ascii="楷体_GB2312" w:hAnsi="楷体_GB2312" w:eastAsia="楷体_GB2312" w:cs="楷体_GB2312"/>
          <w:b/>
          <w:bCs/>
          <w:szCs w:val="32"/>
          <w:lang w:eastAsia="zh-CN"/>
        </w:rPr>
        <w:t>四</w:t>
      </w:r>
      <w:r>
        <w:rPr>
          <w:rFonts w:hint="eastAsia" w:ascii="楷体_GB2312" w:hAnsi="楷体_GB2312" w:eastAsia="楷体_GB2312" w:cs="楷体_GB2312"/>
          <w:b/>
          <w:bCs/>
          <w:szCs w:val="32"/>
        </w:rPr>
        <w:t>条</w:t>
      </w:r>
      <w:r>
        <w:rPr>
          <w:rFonts w:hint="eastAsia" w:ascii="仿宋_GB2312" w:hAnsi="仿宋_GB2312"/>
          <w:szCs w:val="32"/>
          <w:highlight w:val="none"/>
        </w:rPr>
        <w:t xml:space="preserve">  </w:t>
      </w:r>
      <w:r>
        <w:rPr>
          <w:rFonts w:hint="eastAsia" w:ascii="仿宋_GB2312" w:hAnsi="仿宋_GB2312" w:eastAsia="仿宋_GB2312" w:cs="Times New Roman"/>
          <w:sz w:val="32"/>
          <w:szCs w:val="32"/>
          <w:highlight w:val="none"/>
        </w:rPr>
        <w:t>获得产业资金资助的企业应积极配合相关职能部门履行好社会责任。各产业资金主管部门对获得资助后企业的注册地址、纳税数据及统计数据有要求的，可另行在项目申请书（合同）中约定</w:t>
      </w:r>
      <w:r>
        <w:rPr>
          <w:rFonts w:hint="eastAsia" w:ascii="仿宋_GB2312" w:hAnsi="仿宋_GB2312"/>
          <w:szCs w:val="32"/>
          <w:highlight w:val="none"/>
        </w:rPr>
        <w:t>。</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r>
        <w:rPr>
          <w:rFonts w:hint="eastAsia" w:ascii="楷体_GB2312" w:hAnsi="楷体_GB2312" w:eastAsia="楷体_GB2312" w:cs="楷体_GB2312"/>
          <w:b/>
          <w:bCs/>
          <w:szCs w:val="32"/>
        </w:rPr>
        <w:t>第十</w:t>
      </w:r>
      <w:r>
        <w:rPr>
          <w:rFonts w:hint="eastAsia" w:ascii="楷体_GB2312" w:hAnsi="楷体_GB2312" w:eastAsia="楷体_GB2312" w:cs="楷体_GB2312"/>
          <w:b/>
          <w:bCs/>
          <w:szCs w:val="32"/>
          <w:lang w:eastAsia="zh-CN"/>
        </w:rPr>
        <w:t>五</w:t>
      </w:r>
      <w:r>
        <w:rPr>
          <w:rFonts w:hint="eastAsia" w:ascii="楷体_GB2312" w:hAnsi="楷体_GB2312" w:eastAsia="楷体_GB2312" w:cs="楷体_GB2312"/>
          <w:b/>
          <w:bCs/>
          <w:szCs w:val="32"/>
        </w:rPr>
        <w:t>条</w:t>
      </w:r>
      <w:r>
        <w:rPr>
          <w:rFonts w:hint="eastAsia" w:ascii="仿宋_GB2312" w:hAnsi="仿宋_GB2312"/>
          <w:szCs w:val="32"/>
        </w:rPr>
        <w:t xml:space="preserve">  事前资助项目资金的使用实行分批拨付制度。项目申报单位应与资金主管部门签订合同，按照合同约定的内容，根据受资助项目的完成进度情况分批拨付资金。获得专项资金事前项目资助的单位，因故取消项目、因不可抗力原因无法继续履行合同或专项资金继续支持已无必要时，应及时申报并办理合同解除手续。合同解除后，负责管理该资金的资金主管部门应视情况组织审计并及时收回剩余专项资金。</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p>
    <w:p>
      <w:pPr>
        <w:keepNext w:val="0"/>
        <w:keepLines w:val="0"/>
        <w:pageBreakBefore w:val="0"/>
        <w:widowControl w:val="0"/>
        <w:wordWrap/>
        <w:topLinePunct w:val="0"/>
        <w:bidi w:val="0"/>
        <w:spacing w:beforeAutospacing="0" w:afterAutospacing="0" w:line="560" w:lineRule="exact"/>
        <w:ind w:left="0" w:leftChars="0"/>
        <w:jc w:val="center"/>
        <w:rPr>
          <w:rFonts w:ascii="黑体" w:hAnsi="黑体" w:eastAsia="黑体"/>
          <w:szCs w:val="32"/>
        </w:rPr>
      </w:pPr>
      <w:r>
        <w:rPr>
          <w:rFonts w:hint="eastAsia" w:ascii="黑体" w:hAnsi="黑体" w:eastAsia="黑体"/>
          <w:szCs w:val="32"/>
        </w:rPr>
        <w:t>第四章  专项资金的申请与审批</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r>
        <w:rPr>
          <w:rFonts w:hint="eastAsia" w:ascii="楷体_GB2312" w:hAnsi="楷体_GB2312" w:eastAsia="楷体_GB2312" w:cs="楷体_GB2312"/>
          <w:b/>
          <w:bCs/>
          <w:szCs w:val="32"/>
        </w:rPr>
        <w:t>第十</w:t>
      </w:r>
      <w:r>
        <w:rPr>
          <w:rFonts w:hint="eastAsia" w:ascii="楷体_GB2312" w:hAnsi="楷体_GB2312" w:eastAsia="楷体_GB2312" w:cs="楷体_GB2312"/>
          <w:b/>
          <w:bCs/>
          <w:szCs w:val="32"/>
          <w:lang w:eastAsia="zh-CN"/>
        </w:rPr>
        <w:t>六</w:t>
      </w:r>
      <w:r>
        <w:rPr>
          <w:rFonts w:hint="eastAsia" w:ascii="楷体_GB2312" w:hAnsi="楷体_GB2312" w:eastAsia="楷体_GB2312" w:cs="楷体_GB2312"/>
          <w:b/>
          <w:bCs/>
          <w:szCs w:val="32"/>
        </w:rPr>
        <w:t>条</w:t>
      </w:r>
      <w:r>
        <w:rPr>
          <w:rFonts w:hint="eastAsia" w:ascii="仿宋_GB2312" w:hAnsi="仿宋_GB2312"/>
          <w:szCs w:val="32"/>
        </w:rPr>
        <w:t xml:space="preserve">  专项资金采取“统一受理、</w:t>
      </w:r>
      <w:r>
        <w:rPr>
          <w:rFonts w:hint="eastAsia" w:ascii="仿宋_GB2312" w:hAnsi="仿宋_GB2312"/>
          <w:szCs w:val="32"/>
          <w:lang w:eastAsia="zh-CN"/>
        </w:rPr>
        <w:t>各司其责</w:t>
      </w:r>
      <w:r>
        <w:rPr>
          <w:rFonts w:hint="eastAsia" w:ascii="仿宋_GB2312" w:hAnsi="宋体" w:eastAsia="仿宋_GB2312"/>
          <w:sz w:val="32"/>
          <w:szCs w:val="32"/>
          <w:lang w:val="en-US" w:eastAsia="zh-CN"/>
        </w:rPr>
        <w:t>、</w:t>
      </w:r>
      <w:r>
        <w:rPr>
          <w:rFonts w:hint="eastAsia" w:ascii="仿宋_GB2312" w:hAnsi="宋体"/>
          <w:sz w:val="32"/>
          <w:szCs w:val="32"/>
          <w:lang w:val="en-US" w:eastAsia="zh-CN"/>
        </w:rPr>
        <w:t>分类审批</w:t>
      </w:r>
      <w:r>
        <w:rPr>
          <w:rFonts w:hint="eastAsia" w:ascii="仿宋_GB2312" w:hAnsi="宋体" w:eastAsia="仿宋_GB2312"/>
          <w:sz w:val="32"/>
          <w:szCs w:val="32"/>
          <w:lang w:val="en-US" w:eastAsia="zh-CN"/>
        </w:rPr>
        <w:t>”</w:t>
      </w:r>
      <w:r>
        <w:rPr>
          <w:rFonts w:hint="eastAsia" w:ascii="仿宋_GB2312" w:hAnsi="仿宋_GB2312"/>
          <w:szCs w:val="32"/>
        </w:rPr>
        <w:t>的管理模式。相关政策可根据实际情况进行调整，调整事项及时公告。</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r>
        <w:rPr>
          <w:rFonts w:hint="eastAsia" w:ascii="楷体_GB2312" w:hAnsi="楷体_GB2312" w:eastAsia="楷体_GB2312" w:cs="楷体_GB2312"/>
          <w:b/>
          <w:bCs/>
          <w:szCs w:val="32"/>
        </w:rPr>
        <w:t>第十</w:t>
      </w:r>
      <w:r>
        <w:rPr>
          <w:rFonts w:hint="eastAsia" w:ascii="楷体_GB2312" w:hAnsi="楷体_GB2312" w:eastAsia="楷体_GB2312" w:cs="楷体_GB2312"/>
          <w:b/>
          <w:bCs/>
          <w:szCs w:val="32"/>
          <w:lang w:eastAsia="zh-CN"/>
        </w:rPr>
        <w:t>七</w:t>
      </w:r>
      <w:r>
        <w:rPr>
          <w:rFonts w:hint="eastAsia" w:ascii="楷体_GB2312" w:hAnsi="楷体_GB2312" w:eastAsia="楷体_GB2312" w:cs="楷体_GB2312"/>
          <w:b/>
          <w:bCs/>
          <w:szCs w:val="32"/>
        </w:rPr>
        <w:t>条</w:t>
      </w:r>
      <w:r>
        <w:rPr>
          <w:rFonts w:hint="eastAsia" w:ascii="仿宋_GB2312" w:hAnsi="仿宋_GB2312"/>
          <w:szCs w:val="32"/>
        </w:rPr>
        <w:t xml:space="preserve">  申请专项资金资助的单位原则上须满足以下基本条件：</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r>
        <w:rPr>
          <w:rFonts w:hint="eastAsia" w:ascii="仿宋_GB2312" w:hAnsi="仿宋_GB2312"/>
          <w:szCs w:val="32"/>
        </w:rPr>
        <w:t>（一）在南山辖区内登记注册、具有独立法人资格；</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r>
        <w:rPr>
          <w:rFonts w:hint="eastAsia" w:ascii="仿宋_GB2312" w:hAnsi="仿宋_GB2312"/>
          <w:szCs w:val="32"/>
        </w:rPr>
        <w:t>（二）履行统计数据申报义务、守法经营、诚实守信、有规范健全的财务制度；</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r>
        <w:rPr>
          <w:rFonts w:hint="eastAsia" w:ascii="仿宋_GB2312" w:hAnsi="仿宋_GB2312"/>
          <w:color w:val="000000"/>
          <w:szCs w:val="32"/>
        </w:rPr>
        <w:t>（三）应积极配合区委、区政府相关工作；</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r>
        <w:rPr>
          <w:rFonts w:hint="eastAsia" w:ascii="仿宋_GB2312" w:hAnsi="仿宋_GB2312"/>
          <w:szCs w:val="32"/>
        </w:rPr>
        <w:t>（四）其他除外情形的，</w:t>
      </w:r>
      <w:r>
        <w:rPr>
          <w:rFonts w:hint="eastAsia" w:ascii="仿宋_GB2312" w:hAnsi="仿宋_GB2312"/>
          <w:szCs w:val="32"/>
          <w:lang w:eastAsia="zh-CN"/>
        </w:rPr>
        <w:t>由</w:t>
      </w:r>
      <w:r>
        <w:rPr>
          <w:rFonts w:hint="eastAsia" w:ascii="仿宋_GB2312" w:hAnsi="仿宋_GB2312"/>
          <w:szCs w:val="32"/>
        </w:rPr>
        <w:t>资金主管部门</w:t>
      </w:r>
      <w:r>
        <w:rPr>
          <w:rFonts w:hint="eastAsia" w:ascii="仿宋_GB2312" w:hAnsi="仿宋_GB2312"/>
          <w:szCs w:val="32"/>
          <w:lang w:eastAsia="zh-CN"/>
        </w:rPr>
        <w:t>在产业扶持政策措施或其操作规程</w:t>
      </w:r>
      <w:r>
        <w:rPr>
          <w:rFonts w:hint="eastAsia" w:ascii="仿宋_GB2312" w:hAnsi="仿宋_GB2312"/>
          <w:szCs w:val="32"/>
        </w:rPr>
        <w:t>中另行作出明确规定。</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r>
        <w:rPr>
          <w:rFonts w:hint="eastAsia" w:ascii="楷体_GB2312" w:hAnsi="楷体_GB2312" w:eastAsia="楷体_GB2312" w:cs="楷体_GB2312"/>
          <w:b/>
          <w:bCs/>
          <w:szCs w:val="32"/>
        </w:rPr>
        <w:t>第十</w:t>
      </w:r>
      <w:r>
        <w:rPr>
          <w:rFonts w:hint="eastAsia" w:ascii="楷体_GB2312" w:hAnsi="楷体_GB2312" w:eastAsia="楷体_GB2312" w:cs="楷体_GB2312"/>
          <w:b/>
          <w:bCs/>
          <w:szCs w:val="32"/>
          <w:lang w:eastAsia="zh-CN"/>
        </w:rPr>
        <w:t>八</w:t>
      </w:r>
      <w:r>
        <w:rPr>
          <w:rFonts w:hint="eastAsia" w:ascii="楷体_GB2312" w:hAnsi="楷体_GB2312" w:eastAsia="楷体_GB2312" w:cs="楷体_GB2312"/>
          <w:b/>
          <w:bCs/>
          <w:szCs w:val="32"/>
        </w:rPr>
        <w:t>条</w:t>
      </w:r>
      <w:r>
        <w:rPr>
          <w:rFonts w:hint="eastAsia" w:ascii="仿宋_GB2312" w:hAnsi="仿宋_GB2312"/>
          <w:szCs w:val="32"/>
        </w:rPr>
        <w:t xml:space="preserve">  有下列情况之一的，专项资金不予资助：</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r>
        <w:rPr>
          <w:rFonts w:hint="eastAsia" w:ascii="仿宋_GB2312" w:hAnsi="仿宋_GB2312"/>
          <w:szCs w:val="32"/>
        </w:rPr>
        <w:t>（一）近三年内在税收、安全生产、环保、劳动等方面存在重大违法行为，受到有关部门行政处罚的；</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r>
        <w:rPr>
          <w:rFonts w:hint="eastAsia" w:ascii="仿宋_GB2312" w:hAnsi="仿宋_GB2312"/>
          <w:szCs w:val="32"/>
        </w:rPr>
        <w:t>（二）申报材料有弄虚作假情况的；</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r>
        <w:rPr>
          <w:rFonts w:hint="eastAsia" w:ascii="仿宋_GB2312" w:hAnsi="仿宋_GB2312"/>
          <w:szCs w:val="32"/>
        </w:rPr>
        <w:t>（三）近三年内申请单位以及单位法人存在违规申报使用政府资金、商业贿赂、不良信用记录等情况的；</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r>
        <w:rPr>
          <w:rFonts w:hint="eastAsia" w:ascii="仿宋_GB2312" w:hAnsi="仿宋_GB2312"/>
          <w:szCs w:val="32"/>
        </w:rPr>
        <w:t>（四）提出资助申请后，</w:t>
      </w:r>
      <w:r>
        <w:rPr>
          <w:rFonts w:hint="eastAsia" w:ascii="仿宋_GB2312" w:hAnsi="仿宋_GB2312"/>
          <w:szCs w:val="32"/>
          <w:lang w:eastAsia="zh-CN"/>
        </w:rPr>
        <w:t>企业注册地或在地统计关系发生变化，不再符合申请条件的</w:t>
      </w:r>
      <w:r>
        <w:rPr>
          <w:rFonts w:hint="eastAsia" w:ascii="仿宋_GB2312" w:hAnsi="仿宋_GB2312"/>
          <w:szCs w:val="32"/>
        </w:rPr>
        <w:t>。</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r>
        <w:rPr>
          <w:rFonts w:hint="eastAsia" w:ascii="楷体_GB2312" w:hAnsi="楷体_GB2312" w:eastAsia="楷体_GB2312" w:cs="楷体_GB2312"/>
          <w:b/>
          <w:bCs/>
          <w:szCs w:val="32"/>
        </w:rPr>
        <w:t>第十</w:t>
      </w:r>
      <w:r>
        <w:rPr>
          <w:rFonts w:hint="eastAsia" w:ascii="楷体_GB2312" w:hAnsi="楷体_GB2312" w:eastAsia="楷体_GB2312" w:cs="楷体_GB2312"/>
          <w:b/>
          <w:bCs/>
          <w:szCs w:val="32"/>
          <w:lang w:eastAsia="zh-CN"/>
        </w:rPr>
        <w:t>九</w:t>
      </w:r>
      <w:r>
        <w:rPr>
          <w:rFonts w:hint="eastAsia" w:ascii="楷体_GB2312" w:hAnsi="楷体_GB2312" w:eastAsia="楷体_GB2312" w:cs="楷体_GB2312"/>
          <w:b/>
          <w:bCs/>
          <w:szCs w:val="32"/>
        </w:rPr>
        <w:t>条</w:t>
      </w:r>
      <w:r>
        <w:rPr>
          <w:rFonts w:hint="eastAsia" w:ascii="仿宋_GB2312" w:hAnsi="仿宋_GB2312"/>
          <w:szCs w:val="32"/>
        </w:rPr>
        <w:t xml:space="preserve">  项目的申请与审核原则上应遵循以下程序：</w:t>
      </w:r>
    </w:p>
    <w:p>
      <w:pPr>
        <w:keepNext w:val="0"/>
        <w:keepLines w:val="0"/>
        <w:pageBreakBefore w:val="0"/>
        <w:widowControl w:val="0"/>
        <w:wordWrap/>
        <w:topLinePunct w:val="0"/>
        <w:bidi w:val="0"/>
        <w:spacing w:beforeAutospacing="0" w:afterAutospacing="0" w:line="560" w:lineRule="exact"/>
        <w:ind w:left="0" w:leftChars="0" w:firstLine="645"/>
        <w:jc w:val="both"/>
        <w:rPr>
          <w:rFonts w:ascii="仿宋_GB2312" w:hAnsi="仿宋_GB2312"/>
          <w:szCs w:val="32"/>
        </w:rPr>
      </w:pPr>
      <w:r>
        <w:rPr>
          <w:rFonts w:hint="eastAsia" w:ascii="仿宋_GB2312" w:hAnsi="仿宋_GB2312"/>
          <w:szCs w:val="32"/>
        </w:rPr>
        <w:t>（一）申请单位按照相关资金操作规程的具体要求备齐资料，通过南山区产业发展综合服务平台提出申请；</w:t>
      </w:r>
    </w:p>
    <w:p>
      <w:pPr>
        <w:keepNext w:val="0"/>
        <w:keepLines w:val="0"/>
        <w:pageBreakBefore w:val="0"/>
        <w:widowControl w:val="0"/>
        <w:wordWrap/>
        <w:topLinePunct w:val="0"/>
        <w:bidi w:val="0"/>
        <w:spacing w:beforeAutospacing="0" w:afterAutospacing="0" w:line="560" w:lineRule="exact"/>
        <w:ind w:left="0" w:leftChars="0" w:firstLine="645"/>
        <w:jc w:val="both"/>
        <w:rPr>
          <w:rFonts w:ascii="仿宋_GB2312" w:hAnsi="仿宋_GB2312"/>
          <w:szCs w:val="32"/>
        </w:rPr>
      </w:pPr>
      <w:r>
        <w:rPr>
          <w:rFonts w:hint="eastAsia" w:ascii="仿宋_GB2312" w:hAnsi="仿宋_GB2312"/>
          <w:szCs w:val="32"/>
        </w:rPr>
        <w:t>（二）区企服中心受理申请，对申报材料进行形式性审核；</w:t>
      </w:r>
    </w:p>
    <w:p>
      <w:pPr>
        <w:keepNext w:val="0"/>
        <w:keepLines w:val="0"/>
        <w:pageBreakBefore w:val="0"/>
        <w:widowControl w:val="0"/>
        <w:wordWrap/>
        <w:topLinePunct w:val="0"/>
        <w:bidi w:val="0"/>
        <w:spacing w:beforeAutospacing="0" w:afterAutospacing="0" w:line="560" w:lineRule="exact"/>
        <w:ind w:left="0" w:leftChars="0" w:firstLine="645"/>
        <w:jc w:val="both"/>
        <w:rPr>
          <w:rFonts w:ascii="仿宋_GB2312" w:hAnsi="仿宋_GB2312"/>
          <w:szCs w:val="32"/>
        </w:rPr>
      </w:pPr>
      <w:r>
        <w:rPr>
          <w:rFonts w:hint="eastAsia" w:ascii="仿宋_GB2312" w:hAnsi="仿宋_GB2312"/>
          <w:szCs w:val="32"/>
        </w:rPr>
        <w:t>（三）各资金主管部门对申请项目进行审</w:t>
      </w:r>
      <w:r>
        <w:rPr>
          <w:rFonts w:hint="eastAsia" w:ascii="仿宋_GB2312" w:hAnsi="仿宋_GB2312"/>
          <w:szCs w:val="32"/>
          <w:lang w:eastAsia="zh-CN"/>
        </w:rPr>
        <w:t>核</w:t>
      </w:r>
      <w:r>
        <w:rPr>
          <w:rFonts w:hint="eastAsia" w:ascii="仿宋_GB2312" w:hAnsi="仿宋_GB2312"/>
          <w:szCs w:val="32"/>
        </w:rPr>
        <w:t>，并编制项目资助计划；</w:t>
      </w:r>
    </w:p>
    <w:p>
      <w:pPr>
        <w:keepNext w:val="0"/>
        <w:keepLines w:val="0"/>
        <w:pageBreakBefore w:val="0"/>
        <w:widowControl w:val="0"/>
        <w:wordWrap/>
        <w:topLinePunct w:val="0"/>
        <w:bidi w:val="0"/>
        <w:spacing w:beforeAutospacing="0" w:afterAutospacing="0" w:line="560" w:lineRule="exact"/>
        <w:ind w:left="0" w:leftChars="0" w:firstLine="645"/>
        <w:jc w:val="both"/>
        <w:rPr>
          <w:rFonts w:ascii="仿宋_GB2312" w:hAnsi="仿宋_GB2312"/>
          <w:szCs w:val="32"/>
        </w:rPr>
      </w:pPr>
      <w:r>
        <w:rPr>
          <w:rFonts w:hint="eastAsia" w:ascii="仿宋_GB2312" w:hAnsi="仿宋_GB2312"/>
          <w:szCs w:val="32"/>
        </w:rPr>
        <w:t>（四）区财政局对各资金主管部门提交领导小组会议审议的项目</w:t>
      </w:r>
      <w:r>
        <w:rPr>
          <w:rFonts w:hint="eastAsia" w:ascii="仿宋_GB2312" w:hAnsi="仿宋_GB2312"/>
          <w:szCs w:val="32"/>
          <w:lang w:eastAsia="zh-CN"/>
        </w:rPr>
        <w:t>预算资金</w:t>
      </w:r>
      <w:r>
        <w:rPr>
          <w:rFonts w:hint="eastAsia" w:ascii="仿宋_GB2312" w:hAnsi="仿宋_GB2312"/>
          <w:szCs w:val="32"/>
        </w:rPr>
        <w:t>安排</w:t>
      </w:r>
      <w:r>
        <w:rPr>
          <w:rFonts w:hint="eastAsia" w:ascii="仿宋_GB2312" w:hAnsi="仿宋_GB2312"/>
          <w:szCs w:val="32"/>
          <w:lang w:eastAsia="zh-CN"/>
        </w:rPr>
        <w:t>及预算执行情况予以确认</w:t>
      </w:r>
      <w:r>
        <w:rPr>
          <w:rFonts w:hint="eastAsia" w:ascii="仿宋_GB2312" w:hAnsi="仿宋_GB2312"/>
          <w:szCs w:val="32"/>
        </w:rPr>
        <w:t>，区统计局对申报企业在地统计开展情况进行核查，区企服中心对申报企业注册地情况</w:t>
      </w:r>
      <w:r>
        <w:rPr>
          <w:rFonts w:hint="eastAsia" w:ascii="仿宋_GB2312" w:hAnsi="仿宋_GB2312"/>
          <w:szCs w:val="32"/>
          <w:lang w:eastAsia="zh-CN"/>
        </w:rPr>
        <w:t>通过</w:t>
      </w:r>
      <w:r>
        <w:rPr>
          <w:rFonts w:hint="eastAsia" w:ascii="仿宋_GB2312" w:hAnsi="仿宋_GB2312"/>
          <w:szCs w:val="32"/>
        </w:rPr>
        <w:t>市市场监督管理局南山监管局</w:t>
      </w:r>
      <w:r>
        <w:rPr>
          <w:rFonts w:hint="eastAsia" w:ascii="仿宋_GB2312" w:hAnsi="仿宋_GB2312"/>
          <w:szCs w:val="32"/>
          <w:lang w:eastAsia="zh-CN"/>
        </w:rPr>
        <w:t>授</w:t>
      </w:r>
      <w:r>
        <w:rPr>
          <w:rFonts w:hint="eastAsia" w:ascii="仿宋_GB2312" w:hAnsi="仿宋_GB2312"/>
          <w:szCs w:val="32"/>
        </w:rPr>
        <w:t>权的数据平台进行核查；</w:t>
      </w:r>
    </w:p>
    <w:p>
      <w:pPr>
        <w:keepNext w:val="0"/>
        <w:keepLines w:val="0"/>
        <w:pageBreakBefore w:val="0"/>
        <w:widowControl w:val="0"/>
        <w:numPr>
          <w:ilvl w:val="0"/>
          <w:numId w:val="0"/>
        </w:numPr>
        <w:wordWrap/>
        <w:topLinePunct w:val="0"/>
        <w:bidi w:val="0"/>
        <w:spacing w:beforeAutospacing="0" w:afterAutospacing="0" w:line="560" w:lineRule="exact"/>
        <w:ind w:left="0" w:leftChars="0" w:firstLine="640" w:firstLineChars="200"/>
        <w:jc w:val="both"/>
        <w:rPr>
          <w:rFonts w:hint="eastAsia" w:ascii="仿宋_GB2312" w:hAnsi="仿宋_GB2312" w:eastAsia="仿宋_GB2312"/>
          <w:szCs w:val="32"/>
          <w:lang w:eastAsia="zh-CN"/>
        </w:rPr>
      </w:pPr>
      <w:r>
        <w:rPr>
          <w:rFonts w:hint="eastAsia" w:ascii="仿宋_GB2312" w:hAnsi="仿宋_GB2312"/>
          <w:szCs w:val="32"/>
          <w:lang w:eastAsia="zh-CN"/>
        </w:rPr>
        <w:t>（五）</w:t>
      </w:r>
      <w:r>
        <w:rPr>
          <w:rFonts w:hint="eastAsia" w:ascii="仿宋_GB2312" w:hAnsi="仿宋_GB2312"/>
          <w:szCs w:val="32"/>
        </w:rPr>
        <w:t>按照“充分授权，</w:t>
      </w:r>
      <w:r>
        <w:rPr>
          <w:rFonts w:hint="eastAsia" w:ascii="仿宋_GB2312" w:hAnsi="仿宋_GB2312"/>
          <w:szCs w:val="32"/>
          <w:lang w:eastAsia="zh-CN"/>
        </w:rPr>
        <w:t>分类审批</w:t>
      </w:r>
      <w:r>
        <w:rPr>
          <w:rFonts w:hint="eastAsia" w:ascii="仿宋_GB2312" w:hAnsi="仿宋_GB2312"/>
          <w:szCs w:val="32"/>
        </w:rPr>
        <w:t>”</w:t>
      </w:r>
      <w:r>
        <w:rPr>
          <w:rFonts w:hint="eastAsia" w:ascii="仿宋_GB2312" w:hAnsi="仿宋_GB2312"/>
          <w:szCs w:val="32"/>
          <w:lang w:eastAsia="zh-CN"/>
        </w:rPr>
        <w:t>的</w:t>
      </w:r>
      <w:r>
        <w:rPr>
          <w:rFonts w:hint="eastAsia" w:ascii="仿宋_GB2312" w:hAnsi="仿宋_GB2312"/>
          <w:szCs w:val="32"/>
        </w:rPr>
        <w:t>原则</w:t>
      </w:r>
      <w:r>
        <w:rPr>
          <w:rFonts w:hint="eastAsia" w:ascii="仿宋_GB2312" w:hAnsi="仿宋_GB2312"/>
          <w:szCs w:val="32"/>
          <w:lang w:eastAsia="zh-CN"/>
        </w:rPr>
        <w:t>，由领导小组会议授权并认定的：</w:t>
      </w:r>
    </w:p>
    <w:p>
      <w:pPr>
        <w:keepNext w:val="0"/>
        <w:keepLines w:val="0"/>
        <w:pageBreakBefore w:val="0"/>
        <w:widowControl w:val="0"/>
        <w:numPr>
          <w:ilvl w:val="0"/>
          <w:numId w:val="0"/>
        </w:numPr>
        <w:wordWrap/>
        <w:topLinePunct w:val="0"/>
        <w:bidi w:val="0"/>
        <w:spacing w:beforeAutospacing="0" w:afterAutospacing="0" w:line="560" w:lineRule="exact"/>
        <w:ind w:left="0" w:leftChars="0" w:firstLine="640" w:firstLineChars="200"/>
        <w:jc w:val="both"/>
        <w:rPr>
          <w:rFonts w:hint="eastAsia" w:ascii="仿宋_GB2312" w:hAnsi="宋体" w:eastAsia="仿宋_GB2312" w:cs="Times New Roman"/>
          <w:sz w:val="32"/>
          <w:szCs w:val="32"/>
          <w:lang w:val="en-US" w:eastAsia="zh-CN"/>
        </w:rPr>
      </w:pPr>
      <w:r>
        <w:rPr>
          <w:rFonts w:hint="eastAsia" w:ascii="仿宋_GB2312" w:hAnsi="仿宋_GB2312"/>
          <w:szCs w:val="32"/>
          <w:lang w:val="en-US" w:eastAsia="zh-CN"/>
        </w:rPr>
        <w:t>1.</w:t>
      </w:r>
      <w:r>
        <w:rPr>
          <w:rFonts w:hint="eastAsia" w:ascii="仿宋_GB2312" w:hAnsi="宋体" w:eastAsia="仿宋_GB2312" w:cs="Times New Roman"/>
          <w:sz w:val="32"/>
          <w:szCs w:val="32"/>
          <w:lang w:val="en-US" w:eastAsia="zh-CN"/>
        </w:rPr>
        <w:t>对</w:t>
      </w:r>
      <w:r>
        <w:rPr>
          <w:rFonts w:hint="eastAsia" w:ascii="仿宋_GB2312" w:hAnsi="宋体" w:eastAsia="仿宋_GB2312" w:cs="Times New Roman"/>
          <w:color w:val="auto"/>
          <w:sz w:val="32"/>
          <w:szCs w:val="32"/>
        </w:rPr>
        <w:t>资助金额不大、事实清楚明确</w:t>
      </w:r>
      <w:r>
        <w:rPr>
          <w:rFonts w:hint="eastAsia" w:ascii="仿宋_GB2312" w:hAnsi="宋体" w:eastAsia="仿宋_GB2312" w:cs="Times New Roman"/>
          <w:color w:val="auto"/>
          <w:sz w:val="32"/>
          <w:szCs w:val="32"/>
          <w:lang w:eastAsia="zh-CN"/>
        </w:rPr>
        <w:t>的</w:t>
      </w:r>
      <w:r>
        <w:rPr>
          <w:rFonts w:hint="eastAsia" w:ascii="仿宋_GB2312" w:hAnsi="宋体" w:eastAsia="仿宋_GB2312" w:cs="Times New Roman"/>
          <w:sz w:val="32"/>
          <w:szCs w:val="32"/>
          <w:lang w:val="en-US" w:eastAsia="zh-CN"/>
        </w:rPr>
        <w:t>简易审批项目，由</w:t>
      </w:r>
      <w:r>
        <w:rPr>
          <w:rFonts w:hint="eastAsia" w:ascii="仿宋_GB2312" w:hAnsi="宋体" w:cs="Times New Roman"/>
          <w:sz w:val="32"/>
          <w:szCs w:val="32"/>
          <w:lang w:val="en-US" w:eastAsia="zh-CN"/>
        </w:rPr>
        <w:t>各资金</w:t>
      </w:r>
      <w:r>
        <w:rPr>
          <w:rFonts w:hint="eastAsia" w:ascii="仿宋_GB2312" w:hAnsi="宋体" w:eastAsia="仿宋_GB2312" w:cs="Times New Roman"/>
          <w:sz w:val="32"/>
          <w:szCs w:val="32"/>
          <w:lang w:val="en-US" w:eastAsia="zh-CN"/>
        </w:rPr>
        <w:t>主管部门审核后，报请分管</w:t>
      </w:r>
      <w:r>
        <w:rPr>
          <w:rFonts w:hint="eastAsia" w:ascii="仿宋_GB2312" w:hAnsi="宋体" w:cs="Times New Roman"/>
          <w:sz w:val="32"/>
          <w:szCs w:val="32"/>
          <w:lang w:val="en-US" w:eastAsia="zh-CN"/>
        </w:rPr>
        <w:t>副区长</w:t>
      </w:r>
      <w:r>
        <w:rPr>
          <w:rFonts w:hint="eastAsia" w:ascii="仿宋_GB2312" w:hAnsi="宋体" w:eastAsia="仿宋_GB2312" w:cs="Times New Roman"/>
          <w:sz w:val="32"/>
          <w:szCs w:val="32"/>
          <w:lang w:val="en-US" w:eastAsia="zh-CN"/>
        </w:rPr>
        <w:t>签批的简易方式办理</w:t>
      </w:r>
      <w:r>
        <w:rPr>
          <w:rFonts w:hint="eastAsia" w:ascii="仿宋_GB2312" w:hAnsi="宋体" w:cs="Times New Roman"/>
          <w:sz w:val="32"/>
          <w:szCs w:val="32"/>
          <w:lang w:val="en-US" w:eastAsia="zh-CN"/>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560" w:lineRule="exact"/>
        <w:ind w:left="0" w:leftChars="0" w:right="0" w:rightChars="0" w:firstLine="640" w:firstLineChars="200"/>
        <w:jc w:val="both"/>
        <w:textAlignment w:val="auto"/>
        <w:outlineLvl w:val="9"/>
        <w:rPr>
          <w:rFonts w:ascii="仿宋_GB2312" w:eastAsia="仿宋_GB2312"/>
          <w:color w:val="000000"/>
          <w:sz w:val="32"/>
          <w:highlight w:val="none"/>
        </w:rPr>
      </w:pPr>
      <w:r>
        <w:rPr>
          <w:rFonts w:hint="eastAsia" w:ascii="仿宋_GB2312" w:hAnsi="仿宋_GB2312"/>
          <w:szCs w:val="32"/>
          <w:lang w:val="en-US" w:eastAsia="zh-CN"/>
        </w:rPr>
        <w:t>2.对专项资金</w:t>
      </w:r>
      <w:r>
        <w:rPr>
          <w:rFonts w:hint="eastAsia" w:ascii="仿宋_GB2312" w:hAnsi="宋体" w:eastAsia="仿宋_GB2312" w:cs="Times New Roman"/>
          <w:color w:val="auto"/>
          <w:sz w:val="32"/>
          <w:szCs w:val="32"/>
          <w:lang w:eastAsia="zh-CN"/>
        </w:rPr>
        <w:t>领导小组会议确认并授权</w:t>
      </w:r>
      <w:r>
        <w:rPr>
          <w:rFonts w:hint="eastAsia" w:ascii="仿宋_GB2312" w:hAnsi="宋体" w:cs="Times New Roman"/>
          <w:color w:val="auto"/>
          <w:sz w:val="32"/>
          <w:szCs w:val="32"/>
          <w:lang w:eastAsia="zh-CN"/>
        </w:rPr>
        <w:t>的</w:t>
      </w:r>
      <w:r>
        <w:rPr>
          <w:rFonts w:hint="eastAsia" w:ascii="仿宋_GB2312" w:eastAsia="仿宋_GB2312"/>
          <w:color w:val="000000"/>
          <w:sz w:val="32"/>
          <w:highlight w:val="none"/>
        </w:rPr>
        <w:t>专责小组审批项目，由对应</w:t>
      </w:r>
      <w:r>
        <w:rPr>
          <w:rFonts w:hint="eastAsia" w:ascii="仿宋_GB2312"/>
          <w:color w:val="000000"/>
          <w:sz w:val="32"/>
          <w:highlight w:val="none"/>
          <w:lang w:eastAsia="zh-CN"/>
        </w:rPr>
        <w:t>的</w:t>
      </w:r>
      <w:r>
        <w:rPr>
          <w:rFonts w:hint="eastAsia" w:ascii="仿宋_GB2312" w:eastAsia="仿宋_GB2312"/>
          <w:color w:val="000000"/>
          <w:sz w:val="32"/>
          <w:highlight w:val="none"/>
        </w:rPr>
        <w:t>牵头</w:t>
      </w:r>
      <w:r>
        <w:rPr>
          <w:rFonts w:hint="eastAsia" w:ascii="仿宋_GB2312"/>
          <w:color w:val="000000"/>
          <w:sz w:val="32"/>
          <w:highlight w:val="none"/>
          <w:lang w:eastAsia="zh-CN"/>
        </w:rPr>
        <w:t>资金主管</w:t>
      </w:r>
      <w:r>
        <w:rPr>
          <w:rFonts w:hint="eastAsia" w:ascii="仿宋_GB2312" w:eastAsia="仿宋_GB2312"/>
          <w:color w:val="000000"/>
          <w:sz w:val="32"/>
          <w:highlight w:val="none"/>
        </w:rPr>
        <w:t>部门组织召开专责小组会议</w:t>
      </w:r>
      <w:r>
        <w:rPr>
          <w:rFonts w:hint="eastAsia" w:ascii="仿宋_GB2312"/>
          <w:color w:val="000000"/>
          <w:sz w:val="32"/>
          <w:highlight w:val="none"/>
          <w:lang w:eastAsia="zh-CN"/>
        </w:rPr>
        <w:t>办理。</w:t>
      </w:r>
    </w:p>
    <w:p>
      <w:pPr>
        <w:keepNext w:val="0"/>
        <w:keepLines w:val="0"/>
        <w:pageBreakBefore w:val="0"/>
        <w:widowControl w:val="0"/>
        <w:numPr>
          <w:ilvl w:val="0"/>
          <w:numId w:val="0"/>
        </w:numPr>
        <w:wordWrap/>
        <w:topLinePunct w:val="0"/>
        <w:bidi w:val="0"/>
        <w:spacing w:beforeAutospacing="0" w:afterAutospacing="0" w:line="560" w:lineRule="exact"/>
        <w:ind w:left="0" w:leftChars="0" w:firstLine="640" w:firstLineChars="200"/>
        <w:jc w:val="both"/>
        <w:rPr>
          <w:rFonts w:hint="eastAsia" w:ascii="仿宋_GB2312" w:hAnsi="宋体" w:eastAsia="仿宋_GB2312" w:cs="Times New Roman"/>
          <w:sz w:val="32"/>
          <w:szCs w:val="32"/>
          <w:lang w:val="en-US" w:eastAsia="zh-CN"/>
        </w:rPr>
      </w:pPr>
      <w:r>
        <w:rPr>
          <w:rFonts w:hint="eastAsia" w:ascii="仿宋_GB2312"/>
          <w:color w:val="000000"/>
          <w:sz w:val="32"/>
          <w:highlight w:val="none"/>
          <w:lang w:eastAsia="zh-CN"/>
        </w:rPr>
        <w:t>资金</w:t>
      </w:r>
      <w:r>
        <w:rPr>
          <w:rFonts w:hint="eastAsia" w:ascii="仿宋_GB2312" w:hAnsi="宋体" w:eastAsia="仿宋_GB2312" w:cs="Times New Roman"/>
          <w:sz w:val="32"/>
          <w:szCs w:val="32"/>
          <w:lang w:val="en-US" w:eastAsia="zh-CN"/>
        </w:rPr>
        <w:t>主管部门和专责小组权限以外的项目审批以及“一事一议”事项，由领导小组会议研究决策。同时，各</w:t>
      </w:r>
      <w:r>
        <w:rPr>
          <w:rFonts w:hint="eastAsia" w:ascii="仿宋_GB2312" w:hAnsi="宋体" w:cs="Times New Roman"/>
          <w:sz w:val="32"/>
          <w:szCs w:val="32"/>
          <w:lang w:val="en-US" w:eastAsia="zh-CN"/>
        </w:rPr>
        <w:t>资金主管部门和</w:t>
      </w:r>
      <w:r>
        <w:rPr>
          <w:rFonts w:hint="eastAsia" w:ascii="仿宋_GB2312" w:hAnsi="宋体" w:eastAsia="仿宋_GB2312" w:cs="Times New Roman"/>
          <w:sz w:val="32"/>
          <w:szCs w:val="32"/>
          <w:lang w:val="en-US" w:eastAsia="zh-CN"/>
        </w:rPr>
        <w:t>专责小组</w:t>
      </w:r>
      <w:r>
        <w:rPr>
          <w:rFonts w:hint="eastAsia" w:ascii="仿宋_GB2312" w:hAnsi="宋体" w:cs="Times New Roman"/>
          <w:sz w:val="32"/>
          <w:szCs w:val="32"/>
          <w:lang w:val="en-US" w:eastAsia="zh-CN"/>
        </w:rPr>
        <w:t>及时</w:t>
      </w:r>
      <w:r>
        <w:rPr>
          <w:rFonts w:hint="eastAsia" w:ascii="仿宋_GB2312" w:hAnsi="宋体" w:eastAsia="仿宋_GB2312" w:cs="Times New Roman"/>
          <w:sz w:val="32"/>
          <w:szCs w:val="32"/>
          <w:lang w:val="en-US" w:eastAsia="zh-CN"/>
        </w:rPr>
        <w:t>向领导小组会议报告已审批项目</w:t>
      </w:r>
      <w:r>
        <w:rPr>
          <w:rFonts w:hint="eastAsia" w:ascii="仿宋_GB2312" w:hAnsi="宋体" w:cs="Times New Roman"/>
          <w:sz w:val="32"/>
          <w:szCs w:val="32"/>
          <w:lang w:val="en-US" w:eastAsia="zh-CN"/>
        </w:rPr>
        <w:t>资助</w:t>
      </w:r>
      <w:r>
        <w:rPr>
          <w:rFonts w:hint="eastAsia" w:ascii="仿宋_GB2312" w:hAnsi="宋体" w:eastAsia="仿宋_GB2312" w:cs="Times New Roman"/>
          <w:sz w:val="32"/>
          <w:szCs w:val="32"/>
          <w:lang w:val="en-US" w:eastAsia="zh-CN"/>
        </w:rPr>
        <w:t>安排使用情况。原则上每季度召开一次或根据需要召开领导小组会议</w:t>
      </w:r>
      <w:r>
        <w:rPr>
          <w:rFonts w:hint="eastAsia" w:ascii="仿宋_GB2312" w:hAnsi="宋体" w:cs="Times New Roman"/>
          <w:sz w:val="32"/>
          <w:szCs w:val="32"/>
          <w:lang w:val="en-US" w:eastAsia="zh-CN"/>
        </w:rPr>
        <w:t>；</w:t>
      </w:r>
    </w:p>
    <w:p>
      <w:pPr>
        <w:keepNext w:val="0"/>
        <w:keepLines w:val="0"/>
        <w:pageBreakBefore w:val="0"/>
        <w:widowControl w:val="0"/>
        <w:wordWrap/>
        <w:topLinePunct w:val="0"/>
        <w:bidi w:val="0"/>
        <w:spacing w:beforeAutospacing="0" w:afterAutospacing="0" w:line="560" w:lineRule="exact"/>
        <w:ind w:left="0" w:leftChars="0" w:firstLine="645"/>
        <w:rPr>
          <w:rFonts w:hint="eastAsia" w:ascii="仿宋_GB2312" w:hAnsi="仿宋_GB2312"/>
          <w:szCs w:val="32"/>
          <w:lang w:eastAsia="zh-CN"/>
        </w:rPr>
      </w:pPr>
      <w:r>
        <w:rPr>
          <w:rFonts w:hint="eastAsia" w:ascii="仿宋_GB2312" w:hAnsi="仿宋_GB2312"/>
          <w:szCs w:val="32"/>
        </w:rPr>
        <w:t>（</w:t>
      </w:r>
      <w:r>
        <w:rPr>
          <w:rFonts w:hint="eastAsia" w:ascii="仿宋_GB2312" w:hAnsi="仿宋_GB2312"/>
          <w:szCs w:val="32"/>
          <w:lang w:eastAsia="zh-CN"/>
        </w:rPr>
        <w:t>六</w:t>
      </w:r>
      <w:r>
        <w:rPr>
          <w:rFonts w:hint="eastAsia" w:ascii="仿宋_GB2312" w:hAnsi="仿宋_GB2312"/>
          <w:szCs w:val="32"/>
        </w:rPr>
        <w:t>）</w:t>
      </w:r>
      <w:r>
        <w:rPr>
          <w:rFonts w:hint="eastAsia" w:ascii="仿宋_GB2312" w:hAnsi="仿宋_GB2312"/>
          <w:szCs w:val="32"/>
          <w:lang w:eastAsia="zh-CN"/>
        </w:rPr>
        <w:t>区企服中心将各资金主管部门</w:t>
      </w:r>
      <w:r>
        <w:rPr>
          <w:rFonts w:hint="eastAsia" w:ascii="仿宋_GB2312" w:hAnsi="宋体" w:cs="Times New Roman"/>
          <w:sz w:val="32"/>
          <w:szCs w:val="32"/>
          <w:lang w:val="en-US" w:eastAsia="zh-CN"/>
        </w:rPr>
        <w:t>项目资助计划向社会公示5个工作日，</w:t>
      </w:r>
      <w:r>
        <w:rPr>
          <w:rFonts w:hint="eastAsia" w:ascii="仿宋_GB2312" w:hAnsi="仿宋_GB2312"/>
          <w:szCs w:val="32"/>
        </w:rPr>
        <w:t>对公示期满，无有效投诉的</w:t>
      </w:r>
      <w:r>
        <w:rPr>
          <w:rFonts w:hint="eastAsia" w:ascii="仿宋_GB2312" w:hAnsi="仿宋_GB2312"/>
          <w:szCs w:val="32"/>
          <w:lang w:eastAsia="zh-CN"/>
        </w:rPr>
        <w:t>项目资助计划，再按相应的程序提交领导小组会议、专责小组会议、简易方式进行审议；</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r>
        <w:rPr>
          <w:rFonts w:hint="eastAsia" w:ascii="仿宋_GB2312" w:hAnsi="仿宋_GB2312"/>
          <w:szCs w:val="32"/>
          <w:lang w:eastAsia="zh-CN"/>
        </w:rPr>
        <w:t>（七）经审议后，由</w:t>
      </w:r>
      <w:r>
        <w:rPr>
          <w:rFonts w:hint="eastAsia" w:ascii="仿宋_GB2312" w:hAnsi="仿宋_GB2312"/>
          <w:szCs w:val="32"/>
        </w:rPr>
        <w:t>各资金主管部门</w:t>
      </w:r>
      <w:r>
        <w:rPr>
          <w:rFonts w:hint="eastAsia" w:ascii="仿宋_GB2312" w:hAnsi="仿宋_GB2312"/>
          <w:szCs w:val="32"/>
          <w:lang w:eastAsia="zh-CN"/>
        </w:rPr>
        <w:t>直接</w:t>
      </w:r>
      <w:r>
        <w:rPr>
          <w:rFonts w:hint="eastAsia" w:ascii="仿宋_GB2312" w:hAnsi="仿宋_GB2312"/>
          <w:szCs w:val="32"/>
        </w:rPr>
        <w:t>行文下达资金计划；</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r>
        <w:rPr>
          <w:rFonts w:hint="eastAsia" w:ascii="仿宋_GB2312" w:hAnsi="仿宋_GB2312"/>
          <w:szCs w:val="32"/>
        </w:rPr>
        <w:t>（</w:t>
      </w:r>
      <w:r>
        <w:rPr>
          <w:rFonts w:hint="eastAsia" w:ascii="仿宋_GB2312" w:hAnsi="仿宋_GB2312"/>
          <w:szCs w:val="32"/>
          <w:lang w:eastAsia="zh-CN"/>
        </w:rPr>
        <w:t>八</w:t>
      </w:r>
      <w:r>
        <w:rPr>
          <w:rFonts w:hint="eastAsia" w:ascii="仿宋_GB2312" w:hAnsi="仿宋_GB2312"/>
          <w:szCs w:val="32"/>
        </w:rPr>
        <w:t>）对获得专项资金扶持的事前资助项目，各资金主管部门与项目申报单位签订专项合同；</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r>
        <w:rPr>
          <w:rFonts w:hint="eastAsia" w:ascii="仿宋_GB2312" w:hAnsi="仿宋_GB2312"/>
          <w:szCs w:val="32"/>
        </w:rPr>
        <w:t>（</w:t>
      </w:r>
      <w:r>
        <w:rPr>
          <w:rFonts w:hint="eastAsia" w:ascii="仿宋_GB2312" w:hAnsi="仿宋_GB2312"/>
          <w:szCs w:val="32"/>
          <w:lang w:eastAsia="zh-CN"/>
        </w:rPr>
        <w:t>九</w:t>
      </w:r>
      <w:r>
        <w:rPr>
          <w:rFonts w:hint="eastAsia" w:ascii="仿宋_GB2312" w:hAnsi="仿宋_GB2312"/>
          <w:szCs w:val="32"/>
        </w:rPr>
        <w:t>）区财政部门及时安排资金，各资金主管部门办理资金拨付手续；</w:t>
      </w:r>
    </w:p>
    <w:p>
      <w:pPr>
        <w:keepNext w:val="0"/>
        <w:keepLines w:val="0"/>
        <w:pageBreakBefore w:val="0"/>
        <w:widowControl w:val="0"/>
        <w:wordWrap/>
        <w:topLinePunct w:val="0"/>
        <w:bidi w:val="0"/>
        <w:spacing w:beforeAutospacing="0" w:afterAutospacing="0" w:line="560" w:lineRule="exact"/>
        <w:ind w:left="0" w:leftChars="0" w:firstLine="645"/>
        <w:rPr>
          <w:rFonts w:hint="eastAsia" w:ascii="仿宋_GB2312" w:hAnsi="仿宋_GB2312"/>
          <w:szCs w:val="32"/>
        </w:rPr>
      </w:pPr>
      <w:r>
        <w:rPr>
          <w:rFonts w:hint="eastAsia" w:ascii="仿宋_GB2312" w:hAnsi="仿宋_GB2312"/>
          <w:szCs w:val="32"/>
        </w:rPr>
        <w:t>（</w:t>
      </w:r>
      <w:r>
        <w:rPr>
          <w:rFonts w:hint="eastAsia" w:ascii="仿宋_GB2312" w:hAnsi="仿宋_GB2312"/>
          <w:szCs w:val="32"/>
          <w:lang w:eastAsia="zh-CN"/>
        </w:rPr>
        <w:t>十</w:t>
      </w:r>
      <w:r>
        <w:rPr>
          <w:rFonts w:hint="eastAsia" w:ascii="仿宋_GB2312" w:hAnsi="仿宋_GB2312"/>
          <w:szCs w:val="32"/>
        </w:rPr>
        <w:t>）申请与审核程序有其他除外情形的，</w:t>
      </w:r>
      <w:r>
        <w:rPr>
          <w:rFonts w:hint="eastAsia" w:ascii="仿宋_GB2312" w:hAnsi="仿宋_GB2312"/>
          <w:szCs w:val="32"/>
          <w:lang w:eastAsia="zh-CN"/>
        </w:rPr>
        <w:t>由各产业扶持政策措施或其操作规程</w:t>
      </w:r>
      <w:r>
        <w:rPr>
          <w:rFonts w:hint="eastAsia" w:ascii="仿宋_GB2312" w:hAnsi="仿宋_GB2312"/>
          <w:szCs w:val="32"/>
        </w:rPr>
        <w:t>中另行作出明确规定。</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r>
        <w:rPr>
          <w:rFonts w:hint="eastAsia" w:ascii="楷体_GB2312" w:hAnsi="楷体_GB2312" w:eastAsia="楷体_GB2312" w:cs="楷体_GB2312"/>
          <w:b/>
          <w:bCs/>
          <w:szCs w:val="32"/>
        </w:rPr>
        <w:t>第</w:t>
      </w:r>
      <w:r>
        <w:rPr>
          <w:rFonts w:hint="eastAsia" w:ascii="楷体_GB2312" w:hAnsi="楷体_GB2312" w:eastAsia="楷体_GB2312" w:cs="楷体_GB2312"/>
          <w:b/>
          <w:bCs/>
          <w:szCs w:val="32"/>
          <w:lang w:eastAsia="zh-CN"/>
        </w:rPr>
        <w:t>二</w:t>
      </w:r>
      <w:r>
        <w:rPr>
          <w:rFonts w:hint="eastAsia" w:ascii="楷体_GB2312" w:hAnsi="楷体_GB2312" w:eastAsia="楷体_GB2312" w:cs="楷体_GB2312"/>
          <w:b/>
          <w:bCs/>
          <w:szCs w:val="32"/>
        </w:rPr>
        <w:t>十条</w:t>
      </w:r>
      <w:r>
        <w:rPr>
          <w:rFonts w:hint="eastAsia" w:ascii="仿宋_GB2312" w:hAnsi="仿宋_GB2312"/>
          <w:szCs w:val="32"/>
        </w:rPr>
        <w:t xml:space="preserve">  事前资助项目坚持项目到期验收再申请的原则。对于逾期不提交验收申请的项目承担单位，不允许其申报专项资金；对于验收不通过的项目承担单位，自验收结论出具之日起三年内不允许其申报专项资金；对于逾期提交验收申请但最终验收通过的项目承担单位，自验收结论出具之日起恢复其专项资金申报资格。</w:t>
      </w:r>
    </w:p>
    <w:p>
      <w:pPr>
        <w:keepNext w:val="0"/>
        <w:keepLines w:val="0"/>
        <w:pageBreakBefore w:val="0"/>
        <w:widowControl w:val="0"/>
        <w:wordWrap/>
        <w:topLinePunct w:val="0"/>
        <w:bidi w:val="0"/>
        <w:spacing w:beforeAutospacing="0" w:afterAutospacing="0" w:line="560" w:lineRule="exact"/>
        <w:ind w:left="0" w:leftChars="0"/>
        <w:jc w:val="center"/>
        <w:rPr>
          <w:rFonts w:ascii="黑体" w:hAnsi="仿宋_GB2312" w:eastAsia="黑体"/>
          <w:szCs w:val="32"/>
        </w:rPr>
      </w:pPr>
    </w:p>
    <w:p>
      <w:pPr>
        <w:keepNext w:val="0"/>
        <w:keepLines w:val="0"/>
        <w:pageBreakBefore w:val="0"/>
        <w:widowControl w:val="0"/>
        <w:wordWrap/>
        <w:topLinePunct w:val="0"/>
        <w:bidi w:val="0"/>
        <w:spacing w:beforeAutospacing="0" w:afterAutospacing="0" w:line="560" w:lineRule="exact"/>
        <w:ind w:left="0" w:leftChars="0"/>
        <w:jc w:val="center"/>
        <w:rPr>
          <w:rFonts w:ascii="黑体" w:hAnsi="仿宋_GB2312" w:eastAsia="黑体"/>
          <w:szCs w:val="32"/>
        </w:rPr>
      </w:pPr>
      <w:r>
        <w:rPr>
          <w:rFonts w:hint="eastAsia" w:ascii="黑体" w:hAnsi="仿宋_GB2312" w:eastAsia="黑体"/>
          <w:szCs w:val="32"/>
        </w:rPr>
        <w:t>第五章  监督与检查</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r>
        <w:rPr>
          <w:rFonts w:hint="eastAsia" w:ascii="楷体_GB2312" w:hAnsi="楷体_GB2312" w:eastAsia="楷体_GB2312" w:cs="楷体_GB2312"/>
          <w:b/>
          <w:bCs/>
          <w:szCs w:val="32"/>
        </w:rPr>
        <w:t>第二十一条</w:t>
      </w:r>
      <w:r>
        <w:rPr>
          <w:rFonts w:hint="eastAsia" w:ascii="仿宋_GB2312" w:hAnsi="仿宋_GB2312"/>
          <w:szCs w:val="32"/>
        </w:rPr>
        <w:t xml:space="preserve">  各资金主管部门应严格按照本办法的规定管理专项资金，</w:t>
      </w:r>
      <w:r>
        <w:rPr>
          <w:rFonts w:hint="eastAsia" w:ascii="仿宋_GB2312" w:hAnsi="仿宋_GB2312"/>
          <w:color w:val="000000"/>
          <w:szCs w:val="32"/>
        </w:rPr>
        <w:t>对资助项目的实施、获得资助企业的发展等情况进行跟踪管理。</w:t>
      </w:r>
      <w:r>
        <w:rPr>
          <w:rFonts w:hint="eastAsia" w:ascii="仿宋_GB2312" w:hAnsi="仿宋_GB2312"/>
          <w:szCs w:val="32"/>
        </w:rPr>
        <w:t>区财政部门应加强对专项资金的监督。</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r>
        <w:rPr>
          <w:rFonts w:hint="eastAsia" w:ascii="仿宋_GB2312" w:hAnsi="仿宋_GB2312"/>
          <w:szCs w:val="32"/>
        </w:rPr>
        <w:t>获得专项资金资助的单位，有违反法律法规</w:t>
      </w:r>
      <w:r>
        <w:rPr>
          <w:rFonts w:hint="eastAsia" w:ascii="仿宋_GB2312" w:hAnsi="仿宋_GB2312"/>
          <w:szCs w:val="32"/>
          <w:lang w:eastAsia="zh-CN"/>
        </w:rPr>
        <w:t>、</w:t>
      </w:r>
      <w:r>
        <w:rPr>
          <w:rFonts w:hint="eastAsia" w:ascii="仿宋_GB2312" w:hAnsi="仿宋_GB2312"/>
          <w:szCs w:val="32"/>
        </w:rPr>
        <w:t>合同约定</w:t>
      </w:r>
      <w:r>
        <w:rPr>
          <w:rFonts w:hint="eastAsia" w:ascii="仿宋_GB2312" w:hAnsi="仿宋_GB2312"/>
          <w:szCs w:val="32"/>
          <w:lang w:eastAsia="zh-CN"/>
        </w:rPr>
        <w:t>及相关承诺</w:t>
      </w:r>
      <w:r>
        <w:rPr>
          <w:rFonts w:hint="eastAsia" w:ascii="仿宋_GB2312" w:hAnsi="仿宋_GB2312"/>
          <w:szCs w:val="32"/>
        </w:rPr>
        <w:t>，采取商业贿赂等其它不正当手段申请、虚报、冒领、截留、挪用、挤占专项资金行为以及拒绝配合专项资金监督检查情况的，由相关资金主管部门责令其限期改正、追回财政资金并依法追究其法律责任。对被证实存在以上违规行为的单位以及该单位法人由领导小组办公室将其录入诚信档案，五年内停止其专项资金资助申请资格。</w:t>
      </w:r>
    </w:p>
    <w:p>
      <w:pPr>
        <w:keepNext w:val="0"/>
        <w:keepLines w:val="0"/>
        <w:pageBreakBefore w:val="0"/>
        <w:widowControl w:val="0"/>
        <w:wordWrap/>
        <w:topLinePunct w:val="0"/>
        <w:bidi w:val="0"/>
        <w:spacing w:beforeAutospacing="0" w:afterAutospacing="0" w:line="560" w:lineRule="exact"/>
        <w:ind w:left="0" w:leftChars="0" w:firstLine="645"/>
        <w:jc w:val="both"/>
        <w:rPr>
          <w:rFonts w:hint="eastAsia" w:ascii="仿宋_GB2312" w:hAnsi="仿宋_GB2312"/>
          <w:szCs w:val="32"/>
        </w:rPr>
      </w:pPr>
      <w:r>
        <w:rPr>
          <w:rFonts w:hint="eastAsia" w:ascii="楷体_GB2312" w:hAnsi="楷体_GB2312" w:eastAsia="楷体_GB2312" w:cs="楷体_GB2312"/>
          <w:b/>
          <w:bCs/>
          <w:szCs w:val="32"/>
        </w:rPr>
        <w:t>第二十二条</w:t>
      </w:r>
      <w:r>
        <w:rPr>
          <w:rFonts w:hint="eastAsia" w:ascii="仿宋_GB2312" w:hAnsi="仿宋_GB2312"/>
          <w:szCs w:val="32"/>
        </w:rPr>
        <w:t xml:space="preserve">  与专项资金管理相关的工作人员、评审机构及专家违反本办法规定，不认真履行职责，与受资助单位人员串通、弄虚作假的，由相关部门依照有关规定对责任单位和人员进行责任追究；涉嫌违法犯罪的，移送司法机关处理。</w:t>
      </w:r>
    </w:p>
    <w:p>
      <w:pPr>
        <w:keepNext w:val="0"/>
        <w:keepLines w:val="0"/>
        <w:pageBreakBefore w:val="0"/>
        <w:widowControl w:val="0"/>
        <w:numPr>
          <w:ilvl w:val="0"/>
          <w:numId w:val="0"/>
        </w:numPr>
        <w:wordWrap/>
        <w:topLinePunct w:val="0"/>
        <w:bidi w:val="0"/>
        <w:spacing w:beforeAutospacing="0" w:afterAutospacing="0" w:line="560" w:lineRule="exact"/>
        <w:ind w:left="0" w:leftChars="0" w:firstLine="643" w:firstLineChars="200"/>
        <w:jc w:val="both"/>
        <w:rPr>
          <w:rFonts w:hint="eastAsia" w:ascii="仿宋_GB2312" w:hAnsi="宋体" w:eastAsia="仿宋_GB2312" w:cs="Times New Roman"/>
          <w:sz w:val="32"/>
          <w:szCs w:val="32"/>
          <w:lang w:val="en-US" w:eastAsia="zh-CN"/>
        </w:rPr>
      </w:pPr>
      <w:r>
        <w:rPr>
          <w:rFonts w:hint="eastAsia" w:ascii="楷体_GB2312" w:hAnsi="楷体_GB2312" w:eastAsia="楷体_GB2312" w:cs="楷体_GB2312"/>
          <w:b/>
          <w:bCs/>
          <w:szCs w:val="32"/>
        </w:rPr>
        <w:t>第二十</w:t>
      </w:r>
      <w:r>
        <w:rPr>
          <w:rFonts w:hint="eastAsia" w:ascii="楷体_GB2312" w:hAnsi="楷体_GB2312" w:eastAsia="楷体_GB2312" w:cs="楷体_GB2312"/>
          <w:b/>
          <w:bCs/>
          <w:szCs w:val="32"/>
          <w:lang w:eastAsia="zh-CN"/>
        </w:rPr>
        <w:t>三</w:t>
      </w:r>
      <w:r>
        <w:rPr>
          <w:rFonts w:hint="eastAsia" w:ascii="楷体_GB2312" w:hAnsi="楷体_GB2312" w:eastAsia="楷体_GB2312" w:cs="楷体_GB2312"/>
          <w:b/>
          <w:bCs/>
          <w:szCs w:val="32"/>
        </w:rPr>
        <w:t>条</w:t>
      </w:r>
      <w:r>
        <w:rPr>
          <w:rFonts w:hint="eastAsia" w:ascii="仿宋_GB2312" w:hAnsi="仿宋_GB2312"/>
          <w:szCs w:val="32"/>
        </w:rPr>
        <w:t xml:space="preserve">  </w:t>
      </w:r>
      <w:r>
        <w:rPr>
          <w:rFonts w:hint="eastAsia" w:ascii="仿宋_GB2312" w:hAnsi="宋体" w:eastAsia="仿宋_GB2312" w:cs="Times New Roman"/>
          <w:sz w:val="32"/>
          <w:szCs w:val="32"/>
          <w:lang w:val="en-US" w:eastAsia="zh-CN"/>
        </w:rPr>
        <w:t>各资金主管部门要对专项扶持资金加强建章立制，对制度所涉及审核程序和监督制度执行等方面存在的廉政风险予以评估，对权力监督制约的严密程序及自由裁量权大小、腐败现象发生的可能性及危害程度，确定重点和一般风险等级，明确管理责任，实行风险等级管理，</w:t>
      </w:r>
      <w:r>
        <w:rPr>
          <w:rFonts w:hint="eastAsia" w:ascii="仿宋_GB2312" w:hAnsi="宋体" w:cs="Times New Roman"/>
          <w:sz w:val="32"/>
          <w:szCs w:val="32"/>
          <w:lang w:val="en-US" w:eastAsia="zh-CN"/>
        </w:rPr>
        <w:t>定期</w:t>
      </w:r>
      <w:r>
        <w:rPr>
          <w:rFonts w:hint="eastAsia" w:ascii="仿宋_GB2312" w:hAnsi="宋体" w:eastAsia="仿宋_GB2312" w:cs="Times New Roman"/>
          <w:sz w:val="32"/>
          <w:szCs w:val="32"/>
          <w:lang w:val="en-US" w:eastAsia="zh-CN"/>
        </w:rPr>
        <w:t>按照一定的比例进行审查，形成资金主管、</w:t>
      </w:r>
      <w:r>
        <w:rPr>
          <w:rFonts w:hint="eastAsia" w:ascii="仿宋_GB2312" w:hAnsi="宋体" w:cs="Times New Roman"/>
          <w:sz w:val="32"/>
          <w:szCs w:val="32"/>
          <w:lang w:val="en-US" w:eastAsia="zh-CN"/>
        </w:rPr>
        <w:t>纪</w:t>
      </w:r>
      <w:r>
        <w:rPr>
          <w:rFonts w:hint="eastAsia" w:ascii="仿宋_GB2312" w:hAnsi="宋体" w:eastAsia="仿宋_GB2312" w:cs="Times New Roman"/>
          <w:sz w:val="32"/>
          <w:szCs w:val="32"/>
          <w:lang w:val="en-US" w:eastAsia="zh-CN"/>
        </w:rPr>
        <w:t>监、财政、审计等部门参与的监督协同管理机制。</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p>
    <w:p>
      <w:pPr>
        <w:keepNext w:val="0"/>
        <w:keepLines w:val="0"/>
        <w:pageBreakBefore w:val="0"/>
        <w:widowControl w:val="0"/>
        <w:wordWrap/>
        <w:topLinePunct w:val="0"/>
        <w:bidi w:val="0"/>
        <w:spacing w:beforeAutospacing="0" w:afterAutospacing="0" w:line="560" w:lineRule="exact"/>
        <w:ind w:left="0" w:leftChars="0"/>
        <w:jc w:val="center"/>
        <w:rPr>
          <w:rFonts w:ascii="黑体" w:hAnsi="仿宋_GB2312" w:eastAsia="黑体"/>
          <w:szCs w:val="32"/>
        </w:rPr>
      </w:pPr>
      <w:r>
        <w:rPr>
          <w:rFonts w:hint="eastAsia" w:ascii="黑体" w:hAnsi="仿宋_GB2312" w:eastAsia="黑体"/>
          <w:szCs w:val="32"/>
        </w:rPr>
        <w:t>第六章  附</w:t>
      </w:r>
      <w:r>
        <w:rPr>
          <w:rFonts w:hint="eastAsia" w:ascii="黑体" w:hAnsi="仿宋_GB2312" w:eastAsia="黑体"/>
          <w:szCs w:val="32"/>
          <w:lang w:val="en-US" w:eastAsia="zh-CN"/>
        </w:rPr>
        <w:t xml:space="preserve">  </w:t>
      </w:r>
      <w:r>
        <w:rPr>
          <w:rFonts w:hint="eastAsia" w:ascii="黑体" w:hAnsi="仿宋_GB2312" w:eastAsia="黑体"/>
          <w:szCs w:val="32"/>
        </w:rPr>
        <w:t>则</w:t>
      </w:r>
    </w:p>
    <w:p>
      <w:pPr>
        <w:keepNext w:val="0"/>
        <w:keepLines w:val="0"/>
        <w:pageBreakBefore w:val="0"/>
        <w:widowControl w:val="0"/>
        <w:wordWrap/>
        <w:topLinePunct w:val="0"/>
        <w:bidi w:val="0"/>
        <w:spacing w:beforeAutospacing="0" w:afterAutospacing="0" w:line="560" w:lineRule="exact"/>
        <w:ind w:left="0" w:leftChars="0" w:firstLine="645"/>
        <w:rPr>
          <w:rFonts w:ascii="仿宋_GB2312" w:hAnsi="仿宋_GB2312"/>
          <w:szCs w:val="32"/>
        </w:rPr>
      </w:pPr>
    </w:p>
    <w:p>
      <w:pPr>
        <w:keepNext w:val="0"/>
        <w:keepLines w:val="0"/>
        <w:pageBreakBefore w:val="0"/>
        <w:widowControl w:val="0"/>
        <w:wordWrap/>
        <w:topLinePunct w:val="0"/>
        <w:bidi w:val="0"/>
        <w:spacing w:beforeAutospacing="0" w:afterAutospacing="0" w:line="560" w:lineRule="exact"/>
        <w:ind w:left="0" w:leftChars="0" w:firstLine="665" w:firstLineChars="207"/>
        <w:rPr>
          <w:rFonts w:ascii="仿宋_GB2312" w:hAnsi="仿宋_GB2312"/>
          <w:szCs w:val="32"/>
        </w:rPr>
      </w:pPr>
      <w:r>
        <w:rPr>
          <w:rFonts w:hint="eastAsia" w:ascii="楷体_GB2312" w:hAnsi="楷体_GB2312" w:eastAsia="楷体_GB2312" w:cs="楷体_GB2312"/>
          <w:b/>
          <w:bCs/>
          <w:szCs w:val="32"/>
        </w:rPr>
        <w:t>第二十</w:t>
      </w:r>
      <w:r>
        <w:rPr>
          <w:rFonts w:hint="eastAsia" w:ascii="楷体_GB2312" w:hAnsi="楷体_GB2312" w:eastAsia="楷体_GB2312" w:cs="楷体_GB2312"/>
          <w:b/>
          <w:bCs/>
          <w:szCs w:val="32"/>
          <w:lang w:eastAsia="zh-CN"/>
        </w:rPr>
        <w:t>四</w:t>
      </w:r>
      <w:r>
        <w:rPr>
          <w:rFonts w:hint="eastAsia" w:ascii="楷体_GB2312" w:hAnsi="楷体_GB2312" w:eastAsia="楷体_GB2312" w:cs="楷体_GB2312"/>
          <w:b/>
          <w:bCs/>
          <w:szCs w:val="32"/>
        </w:rPr>
        <w:t>条</w:t>
      </w:r>
      <w:r>
        <w:rPr>
          <w:rFonts w:hint="eastAsia" w:ascii="黑体" w:hAnsi="仿宋_GB2312" w:eastAsia="黑体"/>
          <w:szCs w:val="32"/>
        </w:rPr>
        <w:t xml:space="preserve">  </w:t>
      </w:r>
      <w:r>
        <w:rPr>
          <w:rFonts w:hint="eastAsia" w:ascii="仿宋_GB2312" w:hAnsi="仿宋_GB2312"/>
          <w:szCs w:val="32"/>
        </w:rPr>
        <w:t>本办法由区企服中心负责解释。</w:t>
      </w:r>
    </w:p>
    <w:p>
      <w:pPr>
        <w:keepNext w:val="0"/>
        <w:keepLines w:val="0"/>
        <w:pageBreakBefore w:val="0"/>
        <w:widowControl w:val="0"/>
        <w:wordWrap/>
        <w:topLinePunct w:val="0"/>
        <w:bidi w:val="0"/>
        <w:spacing w:beforeAutospacing="0" w:afterAutospacing="0" w:line="560" w:lineRule="exact"/>
        <w:ind w:left="0" w:leftChars="0" w:firstLine="640" w:firstLineChars="200"/>
        <w:rPr>
          <w:rFonts w:hint="eastAsia"/>
        </w:rPr>
      </w:pPr>
      <w:r>
        <w:rPr>
          <w:rFonts w:hint="eastAsia" w:ascii="黑体" w:hAnsi="仿宋_GB2312" w:eastAsia="黑体"/>
          <w:szCs w:val="32"/>
        </w:rPr>
        <w:t>第二十</w:t>
      </w:r>
      <w:r>
        <w:rPr>
          <w:rFonts w:hint="eastAsia" w:ascii="黑体" w:hAnsi="仿宋_GB2312" w:eastAsia="黑体"/>
          <w:szCs w:val="32"/>
          <w:lang w:eastAsia="zh-CN"/>
        </w:rPr>
        <w:t>五</w:t>
      </w:r>
      <w:r>
        <w:rPr>
          <w:rFonts w:hint="eastAsia" w:ascii="黑体" w:hAnsi="仿宋_GB2312" w:eastAsia="黑体"/>
          <w:szCs w:val="32"/>
        </w:rPr>
        <w:t>条</w:t>
      </w:r>
      <w:r>
        <w:rPr>
          <w:rFonts w:hint="eastAsia" w:ascii="仿宋_GB2312" w:hAnsi="仿宋_GB2312"/>
          <w:szCs w:val="32"/>
        </w:rPr>
        <w:t xml:space="preserve">  本办法自发布之日起施行，有效期三年。《南山区自主创新产业发展专项资金管理办法》（深南府办规〔201</w:t>
      </w:r>
      <w:r>
        <w:rPr>
          <w:rFonts w:hint="eastAsia" w:ascii="仿宋_GB2312" w:hAnsi="仿宋_GB2312"/>
          <w:szCs w:val="32"/>
          <w:lang w:val="en-US" w:eastAsia="zh-CN"/>
        </w:rPr>
        <w:t>9</w:t>
      </w:r>
      <w:r>
        <w:rPr>
          <w:rFonts w:hint="eastAsia" w:ascii="仿宋_GB2312" w:hAnsi="仿宋_GB2312"/>
          <w:szCs w:val="32"/>
        </w:rPr>
        <w:t>〕</w:t>
      </w:r>
      <w:r>
        <w:rPr>
          <w:rFonts w:hint="eastAsia" w:ascii="仿宋_GB2312" w:hAnsi="仿宋_GB2312"/>
          <w:szCs w:val="32"/>
          <w:lang w:val="en-US" w:eastAsia="zh-CN"/>
        </w:rPr>
        <w:t>2</w:t>
      </w:r>
      <w:r>
        <w:rPr>
          <w:rFonts w:hint="eastAsia" w:ascii="仿宋_GB2312" w:hAnsi="仿宋_GB2312"/>
          <w:szCs w:val="32"/>
        </w:rPr>
        <w:t>号）同时废止。</w:t>
      </w:r>
      <w:r>
        <w:rPr>
          <w:rFonts w:hint="eastAsia"/>
        </w:rPr>
        <w:t xml:space="preserve">  </w:t>
      </w:r>
    </w:p>
    <w:p>
      <w:pPr>
        <w:keepNext w:val="0"/>
        <w:keepLines w:val="0"/>
        <w:pageBreakBefore w:val="0"/>
        <w:widowControl w:val="0"/>
        <w:wordWrap/>
        <w:topLinePunct w:val="0"/>
        <w:bidi w:val="0"/>
        <w:spacing w:beforeAutospacing="0" w:afterAutospacing="0" w:line="560" w:lineRule="exact"/>
        <w:ind w:left="0" w:leftChars="0"/>
        <w:rPr>
          <w:rFonts w:hint="eastAsia"/>
        </w:rPr>
      </w:pPr>
    </w:p>
    <w:p>
      <w:pPr>
        <w:keepNext w:val="0"/>
        <w:keepLines w:val="0"/>
        <w:pageBreakBefore w:val="0"/>
        <w:widowControl w:val="0"/>
        <w:wordWrap/>
        <w:topLinePunct w:val="0"/>
        <w:bidi w:val="0"/>
        <w:spacing w:beforeAutospacing="0" w:afterAutospacing="0" w:line="560" w:lineRule="exact"/>
        <w:ind w:left="0" w:leftChars="0"/>
        <w:rPr>
          <w:rFonts w:hint="eastAsia"/>
        </w:rPr>
      </w:pPr>
    </w:p>
    <w:p>
      <w:pPr>
        <w:keepNext w:val="0"/>
        <w:keepLines w:val="0"/>
        <w:pageBreakBefore w:val="0"/>
        <w:widowControl w:val="0"/>
        <w:wordWrap/>
        <w:topLinePunct w:val="0"/>
        <w:bidi w:val="0"/>
        <w:spacing w:beforeAutospacing="0" w:afterAutospacing="0" w:line="560" w:lineRule="exact"/>
        <w:ind w:left="0" w:leftChars="0"/>
        <w:rPr>
          <w:rFonts w:hint="eastAsia"/>
        </w:rPr>
      </w:pPr>
    </w:p>
    <w:p>
      <w:pPr>
        <w:keepNext w:val="0"/>
        <w:keepLines w:val="0"/>
        <w:pageBreakBefore w:val="0"/>
        <w:widowControl w:val="0"/>
        <w:wordWrap/>
        <w:topLinePunct w:val="0"/>
        <w:bidi w:val="0"/>
        <w:spacing w:beforeAutospacing="0" w:afterAutospacing="0" w:line="560" w:lineRule="exact"/>
        <w:ind w:left="0" w:leftChars="0"/>
        <w:rPr>
          <w:rFonts w:hint="eastAsia"/>
        </w:rPr>
      </w:pPr>
    </w:p>
    <w:p>
      <w:pPr>
        <w:keepNext w:val="0"/>
        <w:keepLines w:val="0"/>
        <w:pageBreakBefore w:val="0"/>
        <w:widowControl w:val="0"/>
        <w:wordWrap/>
        <w:topLinePunct w:val="0"/>
        <w:bidi w:val="0"/>
        <w:spacing w:beforeAutospacing="0" w:afterAutospacing="0" w:line="560" w:lineRule="exact"/>
        <w:ind w:left="0" w:leftChars="0"/>
        <w:rPr>
          <w:rFonts w:hint="eastAsia"/>
        </w:rPr>
      </w:pPr>
    </w:p>
    <w:p>
      <w:pPr>
        <w:keepNext w:val="0"/>
        <w:keepLines w:val="0"/>
        <w:pageBreakBefore w:val="0"/>
        <w:widowControl w:val="0"/>
        <w:wordWrap/>
        <w:topLinePunct w:val="0"/>
        <w:bidi w:val="0"/>
        <w:spacing w:beforeAutospacing="0" w:afterAutospacing="0" w:line="560" w:lineRule="exact"/>
        <w:ind w:left="0" w:leftChars="0"/>
        <w:rPr>
          <w:rFonts w:hint="eastAsia"/>
        </w:rPr>
      </w:pPr>
    </w:p>
    <w:p>
      <w:pPr>
        <w:keepNext w:val="0"/>
        <w:keepLines w:val="0"/>
        <w:pageBreakBefore w:val="0"/>
        <w:widowControl w:val="0"/>
        <w:wordWrap/>
        <w:topLinePunct w:val="0"/>
        <w:bidi w:val="0"/>
        <w:spacing w:beforeAutospacing="0" w:afterAutospacing="0" w:line="560" w:lineRule="exact"/>
        <w:ind w:left="0" w:leftChars="0"/>
        <w:rPr>
          <w:rFonts w:hint="eastAsia"/>
        </w:rPr>
      </w:pPr>
    </w:p>
    <w:p>
      <w:pPr>
        <w:keepNext w:val="0"/>
        <w:keepLines w:val="0"/>
        <w:pageBreakBefore w:val="0"/>
        <w:widowControl w:val="0"/>
        <w:wordWrap/>
        <w:topLinePunct w:val="0"/>
        <w:bidi w:val="0"/>
        <w:spacing w:beforeAutospacing="0" w:afterAutospacing="0" w:line="560" w:lineRule="exact"/>
        <w:ind w:left="0" w:leftChars="0"/>
        <w:rPr>
          <w:rFonts w:hint="eastAsia"/>
        </w:rPr>
      </w:pPr>
    </w:p>
    <w:p>
      <w:pPr>
        <w:keepNext w:val="0"/>
        <w:keepLines w:val="0"/>
        <w:pageBreakBefore w:val="0"/>
        <w:widowControl w:val="0"/>
        <w:wordWrap/>
        <w:topLinePunct w:val="0"/>
        <w:bidi w:val="0"/>
        <w:spacing w:beforeAutospacing="0" w:afterAutospacing="0" w:line="560" w:lineRule="exact"/>
        <w:ind w:left="0" w:leftChars="0"/>
        <w:rPr>
          <w:rFonts w:hint="eastAsia"/>
        </w:rPr>
      </w:pPr>
    </w:p>
    <w:p>
      <w:pPr>
        <w:keepNext w:val="0"/>
        <w:keepLines w:val="0"/>
        <w:pageBreakBefore w:val="0"/>
        <w:widowControl w:val="0"/>
        <w:wordWrap/>
        <w:topLinePunct w:val="0"/>
        <w:bidi w:val="0"/>
        <w:spacing w:beforeAutospacing="0" w:afterAutospacing="0" w:line="560" w:lineRule="exact"/>
        <w:ind w:left="0" w:leftChars="0"/>
        <w:rPr>
          <w:rFonts w:hint="eastAsia"/>
        </w:rPr>
      </w:pPr>
    </w:p>
    <w:p>
      <w:pPr>
        <w:keepNext w:val="0"/>
        <w:keepLines w:val="0"/>
        <w:pageBreakBefore w:val="0"/>
        <w:widowControl w:val="0"/>
        <w:wordWrap/>
        <w:topLinePunct w:val="0"/>
        <w:bidi w:val="0"/>
        <w:spacing w:beforeAutospacing="0" w:afterAutospacing="0" w:line="560" w:lineRule="exact"/>
        <w:ind w:left="0" w:leftChars="0"/>
        <w:rPr>
          <w:rFonts w:hint="eastAsia"/>
        </w:rPr>
      </w:pPr>
    </w:p>
    <w:p>
      <w:pPr>
        <w:keepNext w:val="0"/>
        <w:keepLines w:val="0"/>
        <w:pageBreakBefore w:val="0"/>
        <w:widowControl w:val="0"/>
        <w:wordWrap/>
        <w:topLinePunct w:val="0"/>
        <w:bidi w:val="0"/>
        <w:spacing w:beforeAutospacing="0" w:afterAutospacing="0" w:line="560" w:lineRule="exact"/>
        <w:ind w:left="0" w:leftChars="0"/>
        <w:rPr>
          <w:rFonts w:hint="eastAsia"/>
        </w:rPr>
      </w:pPr>
    </w:p>
    <w:p>
      <w:pPr>
        <w:keepNext w:val="0"/>
        <w:keepLines w:val="0"/>
        <w:pageBreakBefore w:val="0"/>
        <w:widowControl w:val="0"/>
        <w:wordWrap/>
        <w:topLinePunct w:val="0"/>
        <w:bidi w:val="0"/>
        <w:spacing w:beforeAutospacing="0" w:afterAutospacing="0" w:line="560" w:lineRule="exact"/>
        <w:ind w:left="0" w:leftChars="0"/>
        <w:rPr>
          <w:rFonts w:hint="eastAsia"/>
        </w:rPr>
      </w:pPr>
    </w:p>
    <w:p>
      <w:pPr>
        <w:keepNext w:val="0"/>
        <w:keepLines w:val="0"/>
        <w:pageBreakBefore w:val="0"/>
        <w:widowControl w:val="0"/>
        <w:wordWrap/>
        <w:topLinePunct w:val="0"/>
        <w:bidi w:val="0"/>
        <w:spacing w:beforeAutospacing="0" w:afterAutospacing="0" w:line="560" w:lineRule="exact"/>
        <w:ind w:left="0" w:leftChars="0"/>
        <w:rPr>
          <w:rFonts w:hint="eastAsia"/>
        </w:rPr>
      </w:pPr>
    </w:p>
    <w:p>
      <w:pPr>
        <w:keepNext w:val="0"/>
        <w:keepLines w:val="0"/>
        <w:pageBreakBefore w:val="0"/>
        <w:widowControl w:val="0"/>
        <w:wordWrap/>
        <w:topLinePunct w:val="0"/>
        <w:bidi w:val="0"/>
        <w:spacing w:beforeAutospacing="0" w:afterAutospacing="0" w:line="560" w:lineRule="exact"/>
        <w:ind w:left="0" w:leftChars="0"/>
        <w:rPr>
          <w:rFonts w:hint="eastAsia"/>
        </w:rPr>
      </w:pPr>
    </w:p>
    <w:p>
      <w:pPr>
        <w:keepNext w:val="0"/>
        <w:keepLines w:val="0"/>
        <w:pageBreakBefore w:val="0"/>
        <w:widowControl w:val="0"/>
        <w:wordWrap/>
        <w:topLinePunct w:val="0"/>
        <w:bidi w:val="0"/>
        <w:spacing w:beforeAutospacing="0" w:afterAutospacing="0" w:line="560" w:lineRule="exact"/>
        <w:ind w:left="0" w:leftChars="0"/>
        <w:rPr>
          <w:rFonts w:hint="eastAsia"/>
        </w:rPr>
      </w:pPr>
    </w:p>
    <w:p>
      <w:pPr>
        <w:keepNext w:val="0"/>
        <w:keepLines w:val="0"/>
        <w:pageBreakBefore w:val="0"/>
        <w:widowControl w:val="0"/>
        <w:wordWrap/>
        <w:topLinePunct w:val="0"/>
        <w:bidi w:val="0"/>
        <w:spacing w:beforeAutospacing="0" w:afterAutospacing="0" w:line="560" w:lineRule="exact"/>
        <w:ind w:left="0" w:leftChars="0"/>
        <w:rPr>
          <w:rFonts w:hint="eastAsia"/>
        </w:rPr>
      </w:pPr>
    </w:p>
    <w:p>
      <w:pPr>
        <w:keepNext w:val="0"/>
        <w:keepLines w:val="0"/>
        <w:pageBreakBefore w:val="0"/>
        <w:widowControl w:val="0"/>
        <w:wordWrap/>
        <w:topLinePunct w:val="0"/>
        <w:bidi w:val="0"/>
        <w:spacing w:beforeAutospacing="0" w:afterAutospacing="0" w:line="560" w:lineRule="exact"/>
        <w:ind w:left="0" w:leftChars="0"/>
        <w:rPr>
          <w:rFonts w:hint="eastAsia"/>
        </w:rPr>
      </w:pPr>
    </w:p>
    <w:p>
      <w:pPr>
        <w:pStyle w:val="2"/>
        <w:rPr>
          <w:rFonts w:hint="eastAsia"/>
        </w:rPr>
      </w:pPr>
    </w:p>
    <w:p>
      <w:pPr>
        <w:rPr>
          <w:rFonts w:hint="eastAsia"/>
        </w:rPr>
      </w:pPr>
      <w:r>
        <w:rPr>
          <w:rFonts w:hint="eastAsia"/>
        </w:rPr>
        <w:br w:type="page"/>
      </w:r>
    </w:p>
    <w:p>
      <w:pPr>
        <w:pStyle w:val="12"/>
        <w:keepNext w:val="0"/>
        <w:keepLines w:val="0"/>
        <w:pageBreakBefore w:val="0"/>
        <w:widowControl w:val="0"/>
        <w:kinsoku/>
        <w:wordWrap/>
        <w:overflowPunct/>
        <w:topLinePunct w:val="0"/>
        <w:autoSpaceDE/>
        <w:bidi w:val="0"/>
        <w:adjustRightInd/>
        <w:snapToGrid/>
        <w:spacing w:beforeAutospacing="0" w:after="0" w:afterAutospacing="0" w:line="560" w:lineRule="exact"/>
        <w:ind w:left="0" w:leftChars="0" w:firstLine="440"/>
        <w:jc w:val="center"/>
        <w:textAlignment w:val="auto"/>
        <w:rPr>
          <w:rFonts w:hint="eastAsia" w:asciiTheme="majorEastAsia" w:hAnsiTheme="majorEastAsia" w:eastAsiaTheme="majorEastAsia" w:cstheme="majorEastAsia"/>
          <w:sz w:val="44"/>
          <w:szCs w:val="44"/>
        </w:rPr>
      </w:pPr>
      <w:r>
        <w:rPr>
          <w:rFonts w:hint="eastAsia"/>
        </w:rPr>
        <w:t xml:space="preserve"> </w:t>
      </w:r>
      <w:r>
        <w:rPr>
          <w:rFonts w:hint="eastAsia" w:ascii="方正小标宋_GBK" w:hAnsi="方正小标宋_GBK" w:eastAsia="方正小标宋_GBK" w:cs="方正小标宋_GBK"/>
          <w:sz w:val="44"/>
          <w:szCs w:val="44"/>
          <w:lang w:eastAsia="zh-CN"/>
        </w:rPr>
        <w:t>南山区</w:t>
      </w:r>
      <w:r>
        <w:rPr>
          <w:rFonts w:hint="eastAsia" w:ascii="方正小标宋_GBK" w:hAnsi="方正小标宋_GBK" w:eastAsia="方正小标宋_GBK" w:cs="方正小标宋_GBK"/>
          <w:sz w:val="44"/>
          <w:szCs w:val="44"/>
        </w:rPr>
        <w:t>人才</w:t>
      </w:r>
      <w:r>
        <w:rPr>
          <w:rFonts w:hint="eastAsia" w:ascii="方正小标宋_GBK" w:hAnsi="方正小标宋_GBK" w:eastAsia="方正小标宋_GBK" w:cs="方正小标宋_GBK"/>
          <w:sz w:val="44"/>
          <w:szCs w:val="44"/>
          <w:lang w:eastAsia="zh-CN"/>
        </w:rPr>
        <w:t>工作</w:t>
      </w:r>
      <w:r>
        <w:rPr>
          <w:rFonts w:hint="eastAsia" w:ascii="方正小标宋_GBK" w:hAnsi="方正小标宋_GBK" w:eastAsia="方正小标宋_GBK" w:cs="方正小标宋_GBK"/>
          <w:sz w:val="44"/>
          <w:szCs w:val="44"/>
        </w:rPr>
        <w:t>发展扶持措施</w:t>
      </w:r>
    </w:p>
    <w:p>
      <w:pPr>
        <w:pStyle w:val="12"/>
        <w:keepNext w:val="0"/>
        <w:keepLines w:val="0"/>
        <w:pageBreakBefore w:val="0"/>
        <w:widowControl w:val="0"/>
        <w:kinsoku/>
        <w:wordWrap/>
        <w:overflowPunct/>
        <w:topLinePunct w:val="0"/>
        <w:autoSpaceDE/>
        <w:bidi w:val="0"/>
        <w:adjustRightInd/>
        <w:snapToGrid/>
        <w:spacing w:beforeAutospacing="0" w:after="0" w:afterAutospacing="0" w:line="560" w:lineRule="exact"/>
        <w:ind w:left="0" w:leftChars="0" w:firstLine="320"/>
        <w:jc w:val="center"/>
        <w:textAlignment w:val="auto"/>
        <w:rPr>
          <w:rFonts w:hint="eastAsia" w:ascii="宋体" w:hAnsi="宋体" w:eastAsia="宋体" w:cs="宋体"/>
          <w:b/>
          <w:bCs/>
          <w:sz w:val="36"/>
          <w:szCs w:val="36"/>
        </w:rPr>
      </w:pPr>
      <w:r>
        <w:rPr>
          <w:rFonts w:hint="eastAsia" w:ascii="宋体" w:hAnsi="宋体" w:eastAsia="宋体" w:cs="宋体"/>
          <w:b/>
          <w:bCs/>
          <w:sz w:val="36"/>
          <w:szCs w:val="36"/>
        </w:rPr>
        <w:t>（征求意见稿）</w:t>
      </w:r>
    </w:p>
    <w:p>
      <w:pPr>
        <w:pStyle w:val="16"/>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jc w:val="center"/>
        <w:textAlignment w:val="auto"/>
        <w:rPr>
          <w:rFonts w:hint="eastAsia" w:ascii="黑体" w:hAnsi="黑体" w:eastAsia="黑体" w:cs="黑体"/>
          <w:kern w:val="0"/>
          <w:sz w:val="32"/>
          <w:szCs w:val="32"/>
          <w:u w:val="none"/>
          <w:lang w:eastAsia="zh-CN"/>
        </w:rPr>
      </w:pPr>
    </w:p>
    <w:p>
      <w:pPr>
        <w:pStyle w:val="16"/>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jc w:val="center"/>
        <w:textAlignment w:val="auto"/>
        <w:rPr>
          <w:rFonts w:hint="eastAsia" w:ascii="黑体" w:hAnsi="黑体" w:eastAsia="黑体" w:cs="黑体"/>
          <w:kern w:val="0"/>
          <w:sz w:val="32"/>
          <w:szCs w:val="32"/>
          <w:u w:val="none"/>
          <w:lang w:eastAsia="zh-CN"/>
        </w:rPr>
      </w:pPr>
      <w:r>
        <w:rPr>
          <w:rFonts w:hint="eastAsia" w:ascii="黑体" w:hAnsi="黑体" w:eastAsia="黑体" w:cs="黑体"/>
          <w:kern w:val="0"/>
          <w:sz w:val="32"/>
          <w:szCs w:val="32"/>
          <w:u w:val="none"/>
          <w:lang w:eastAsia="zh-CN"/>
        </w:rPr>
        <w:t>第一章</w:t>
      </w:r>
      <w:r>
        <w:rPr>
          <w:rFonts w:hint="eastAsia" w:ascii="黑体" w:hAnsi="黑体" w:eastAsia="黑体" w:cs="黑体"/>
          <w:kern w:val="0"/>
          <w:sz w:val="32"/>
          <w:szCs w:val="32"/>
          <w:u w:val="none"/>
          <w:lang w:val="en-US" w:eastAsia="zh-CN"/>
        </w:rPr>
        <w:t xml:space="preserve">  </w:t>
      </w:r>
      <w:r>
        <w:rPr>
          <w:rFonts w:hint="eastAsia" w:ascii="黑体" w:hAnsi="黑体" w:eastAsia="黑体" w:cs="黑体"/>
          <w:kern w:val="0"/>
          <w:sz w:val="32"/>
          <w:szCs w:val="32"/>
          <w:u w:val="none"/>
          <w:lang w:eastAsia="zh-CN"/>
        </w:rPr>
        <w:t>总</w:t>
      </w:r>
      <w:r>
        <w:rPr>
          <w:rFonts w:hint="eastAsia" w:ascii="黑体" w:hAnsi="黑体" w:eastAsia="黑体" w:cs="黑体"/>
          <w:kern w:val="0"/>
          <w:sz w:val="32"/>
          <w:szCs w:val="32"/>
          <w:u w:val="none"/>
          <w:lang w:val="en-US" w:eastAsia="zh-CN"/>
        </w:rPr>
        <w:t xml:space="preserve">  </w:t>
      </w:r>
      <w:r>
        <w:rPr>
          <w:rFonts w:hint="eastAsia" w:ascii="黑体" w:hAnsi="黑体" w:eastAsia="黑体" w:cs="黑体"/>
          <w:kern w:val="0"/>
          <w:sz w:val="32"/>
          <w:szCs w:val="32"/>
          <w:u w:val="none"/>
          <w:lang w:eastAsia="zh-CN"/>
        </w:rPr>
        <w:t>则</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hint="eastAsia" w:ascii="仿宋_GB2312" w:hAnsi="仿宋_GB2312" w:eastAsia="仿宋_GB2312" w:cs="仿宋_GB2312"/>
          <w:b/>
          <w:bCs/>
          <w:kern w:val="0"/>
          <w:sz w:val="32"/>
          <w:szCs w:val="32"/>
          <w:u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hint="eastAsia" w:ascii="仿宋_GB2312" w:hAnsi="仿宋_GB2312" w:eastAsia="仿宋_GB2312" w:cs="仿宋_GB2312"/>
          <w:kern w:val="0"/>
          <w:sz w:val="32"/>
          <w:szCs w:val="32"/>
          <w:u w:val="none"/>
        </w:rPr>
      </w:pPr>
      <w:r>
        <w:rPr>
          <w:rFonts w:hint="eastAsia" w:ascii="楷体_GB2312" w:hAnsi="楷体_GB2312" w:eastAsia="楷体_GB2312" w:cs="楷体_GB2312"/>
          <w:b/>
          <w:color w:val="auto"/>
          <w:kern w:val="2"/>
          <w:sz w:val="32"/>
          <w:szCs w:val="24"/>
          <w:highlight w:val="none"/>
          <w:lang w:val="en-US" w:eastAsia="zh-CN" w:bidi="ar-SA"/>
        </w:rPr>
        <w:t xml:space="preserve">第一条  </w:t>
      </w:r>
      <w:r>
        <w:rPr>
          <w:rFonts w:hint="eastAsia" w:ascii="仿宋_GB2312" w:hAnsi="仿宋_GB2312" w:eastAsia="仿宋_GB2312" w:cs="仿宋_GB2312"/>
          <w:kern w:val="0"/>
          <w:sz w:val="32"/>
          <w:szCs w:val="32"/>
          <w:highlight w:val="none"/>
          <w:u w:val="none"/>
        </w:rPr>
        <w:t>为贯彻中央人才工作会议精神，</w:t>
      </w:r>
      <w:r>
        <w:rPr>
          <w:rFonts w:hint="default" w:ascii="仿宋_GB2312" w:hAnsi="仿宋_GB2312" w:eastAsia="仿宋_GB2312" w:cs="仿宋_GB2312"/>
          <w:kern w:val="0"/>
          <w:sz w:val="32"/>
          <w:szCs w:val="32"/>
          <w:highlight w:val="none"/>
          <w:u w:val="none"/>
        </w:rPr>
        <w:t>落实</w:t>
      </w:r>
      <w:r>
        <w:rPr>
          <w:rFonts w:hint="eastAsia" w:ascii="仿宋_GB2312" w:hAnsi="仿宋_GB2312" w:eastAsia="仿宋_GB2312" w:cs="仿宋_GB2312"/>
          <w:kern w:val="0"/>
          <w:sz w:val="32"/>
          <w:szCs w:val="32"/>
          <w:highlight w:val="none"/>
          <w:u w:val="none"/>
        </w:rPr>
        <w:t>新时代人才强国战略，</w:t>
      </w:r>
      <w:r>
        <w:rPr>
          <w:rFonts w:hint="default" w:ascii="仿宋_GB2312" w:hAnsi="仿宋_GB2312" w:eastAsia="仿宋_GB2312" w:cs="仿宋_GB2312"/>
          <w:kern w:val="0"/>
          <w:sz w:val="32"/>
          <w:szCs w:val="32"/>
          <w:highlight w:val="none"/>
          <w:u w:val="none"/>
        </w:rPr>
        <w:t>激发</w:t>
      </w:r>
      <w:r>
        <w:rPr>
          <w:rFonts w:hint="eastAsia" w:ascii="仿宋_GB2312" w:hAnsi="仿宋_GB2312" w:eastAsia="仿宋_GB2312" w:cs="仿宋_GB2312"/>
          <w:kern w:val="0"/>
          <w:sz w:val="32"/>
          <w:szCs w:val="32"/>
          <w:highlight w:val="none"/>
          <w:u w:val="none"/>
        </w:rPr>
        <w:t>各类人才</w:t>
      </w:r>
      <w:r>
        <w:rPr>
          <w:rFonts w:hint="default" w:ascii="仿宋_GB2312" w:hAnsi="仿宋_GB2312" w:eastAsia="仿宋_GB2312" w:cs="仿宋_GB2312"/>
          <w:kern w:val="0"/>
          <w:sz w:val="32"/>
          <w:szCs w:val="32"/>
          <w:highlight w:val="none"/>
          <w:u w:val="none"/>
        </w:rPr>
        <w:t>参与</w:t>
      </w:r>
      <w:r>
        <w:rPr>
          <w:rFonts w:hint="eastAsia" w:ascii="仿宋_GB2312" w:hAnsi="仿宋_GB2312" w:eastAsia="仿宋_GB2312" w:cs="仿宋_GB2312"/>
          <w:kern w:val="0"/>
          <w:sz w:val="32"/>
          <w:szCs w:val="32"/>
          <w:highlight w:val="none"/>
          <w:u w:val="none"/>
        </w:rPr>
        <w:t>创新创造，</w:t>
      </w:r>
      <w:r>
        <w:rPr>
          <w:rFonts w:hint="eastAsia" w:ascii="仿宋_GB2312" w:hAnsi="仿宋_GB2312" w:eastAsia="仿宋_GB2312" w:cs="仿宋_GB2312"/>
          <w:kern w:val="0"/>
          <w:sz w:val="32"/>
          <w:szCs w:val="32"/>
          <w:highlight w:val="none"/>
          <w:u w:val="none"/>
          <w:lang w:eastAsia="zh-CN"/>
        </w:rPr>
        <w:t>进一步优化</w:t>
      </w:r>
      <w:r>
        <w:rPr>
          <w:rFonts w:hint="eastAsia" w:ascii="仿宋_GB2312" w:hAnsi="仿宋_GB2312" w:eastAsia="仿宋_GB2312" w:cs="仿宋_GB2312"/>
          <w:kern w:val="0"/>
          <w:sz w:val="32"/>
          <w:szCs w:val="32"/>
          <w:highlight w:val="none"/>
          <w:u w:val="none"/>
          <w:lang w:val="en-US" w:eastAsia="zh-CN"/>
        </w:rPr>
        <w:t>南山</w:t>
      </w:r>
      <w:r>
        <w:rPr>
          <w:rFonts w:hint="eastAsia" w:ascii="仿宋_GB2312" w:hAnsi="仿宋_GB2312" w:eastAsia="仿宋_GB2312" w:cs="仿宋_GB2312"/>
          <w:kern w:val="0"/>
          <w:sz w:val="32"/>
          <w:szCs w:val="32"/>
          <w:highlight w:val="none"/>
          <w:u w:val="none"/>
          <w:lang w:eastAsia="zh-CN"/>
        </w:rPr>
        <w:t>人才发展生态，</w:t>
      </w:r>
      <w:r>
        <w:rPr>
          <w:rFonts w:hint="default" w:ascii="仿宋_GB2312" w:hAnsi="仿宋_GB2312" w:eastAsia="仿宋_GB2312" w:cs="仿宋_GB2312"/>
          <w:kern w:val="0"/>
          <w:sz w:val="32"/>
          <w:szCs w:val="32"/>
          <w:highlight w:val="none"/>
          <w:u w:val="none"/>
          <w:lang w:eastAsia="zh-CN"/>
        </w:rPr>
        <w:t>为</w:t>
      </w:r>
      <w:r>
        <w:rPr>
          <w:rFonts w:hint="eastAsia" w:ascii="仿宋_GB2312" w:hAnsi="仿宋_GB2312" w:eastAsia="仿宋_GB2312" w:cs="仿宋_GB2312"/>
          <w:kern w:val="0"/>
          <w:sz w:val="32"/>
          <w:szCs w:val="32"/>
          <w:highlight w:val="none"/>
          <w:u w:val="none"/>
          <w:lang w:val="en-US" w:eastAsia="zh-CN"/>
        </w:rPr>
        <w:t>粤港澳大湾区和深圳先行示范区“双区”建设提供智力支撑</w:t>
      </w:r>
      <w:r>
        <w:rPr>
          <w:rFonts w:hint="default" w:ascii="仿宋_GB2312" w:hAnsi="仿宋_GB2312" w:eastAsia="仿宋_GB2312" w:cs="仿宋_GB2312"/>
          <w:kern w:val="0"/>
          <w:sz w:val="32"/>
          <w:szCs w:val="32"/>
          <w:highlight w:val="none"/>
          <w:u w:val="none"/>
          <w:lang w:eastAsia="zh-CN"/>
        </w:rPr>
        <w:t>，</w:t>
      </w:r>
      <w:r>
        <w:rPr>
          <w:rFonts w:hint="eastAsia" w:ascii="仿宋_GB2312" w:hAnsi="仿宋_GB2312" w:eastAsia="仿宋_GB2312" w:cs="仿宋_GB2312"/>
          <w:kern w:val="0"/>
          <w:sz w:val="32"/>
          <w:szCs w:val="32"/>
          <w:u w:val="none"/>
        </w:rPr>
        <w:t>同时规范南山区自主创新产业发展专项资金人才</w:t>
      </w:r>
      <w:r>
        <w:rPr>
          <w:rFonts w:hint="default" w:ascii="仿宋_GB2312" w:hAnsi="仿宋_GB2312" w:eastAsia="仿宋_GB2312" w:cs="仿宋_GB2312"/>
          <w:kern w:val="0"/>
          <w:sz w:val="32"/>
          <w:szCs w:val="32"/>
          <w:u w:val="none"/>
        </w:rPr>
        <w:t>工作</w:t>
      </w:r>
      <w:r>
        <w:rPr>
          <w:rFonts w:hint="eastAsia" w:ascii="仿宋_GB2312" w:hAnsi="仿宋_GB2312" w:eastAsia="仿宋_GB2312" w:cs="仿宋_GB2312"/>
          <w:kern w:val="0"/>
          <w:sz w:val="32"/>
          <w:szCs w:val="32"/>
          <w:u w:val="none"/>
        </w:rPr>
        <w:t>分项资金的使用和管理，根据《南山区自主创新产业发展专项资金管理办法》的规定和要求，制定本措施。</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hint="eastAsia" w:ascii="仿宋_GB2312" w:hAnsi="仿宋_GB2312" w:eastAsia="仿宋_GB2312" w:cs="仿宋_GB2312"/>
          <w:kern w:val="0"/>
          <w:sz w:val="32"/>
          <w:szCs w:val="32"/>
          <w:u w:val="none"/>
        </w:rPr>
      </w:pPr>
      <w:r>
        <w:rPr>
          <w:rFonts w:hint="eastAsia" w:ascii="楷体_GB2312" w:hAnsi="楷体_GB2312" w:eastAsia="楷体_GB2312" w:cs="楷体_GB2312"/>
          <w:b/>
          <w:color w:val="auto"/>
          <w:kern w:val="2"/>
          <w:sz w:val="32"/>
          <w:szCs w:val="24"/>
          <w:highlight w:val="none"/>
          <w:lang w:val="en-US" w:eastAsia="zh-CN" w:bidi="ar-SA"/>
        </w:rPr>
        <w:t xml:space="preserve">第二条  </w:t>
      </w:r>
      <w:r>
        <w:rPr>
          <w:rFonts w:hint="eastAsia" w:ascii="仿宋_GB2312" w:hAnsi="仿宋_GB2312" w:eastAsia="仿宋_GB2312" w:cs="仿宋_GB2312"/>
          <w:kern w:val="0"/>
          <w:sz w:val="32"/>
          <w:szCs w:val="32"/>
          <w:u w:val="none"/>
        </w:rPr>
        <w:t>区人力资源局为本</w:t>
      </w:r>
      <w:r>
        <w:rPr>
          <w:rFonts w:hint="eastAsia" w:ascii="仿宋_GB2312" w:hAnsi="仿宋_GB2312" w:eastAsia="仿宋_GB2312" w:cs="仿宋_GB2312"/>
          <w:kern w:val="0"/>
          <w:sz w:val="32"/>
          <w:szCs w:val="32"/>
          <w:u w:val="none"/>
          <w:lang w:eastAsia="zh-CN"/>
        </w:rPr>
        <w:t>措施</w:t>
      </w:r>
      <w:r>
        <w:rPr>
          <w:rFonts w:hint="eastAsia" w:ascii="仿宋_GB2312" w:hAnsi="仿宋_GB2312" w:eastAsia="仿宋_GB2312" w:cs="仿宋_GB2312"/>
          <w:kern w:val="0"/>
          <w:sz w:val="32"/>
          <w:szCs w:val="32"/>
          <w:u w:val="none"/>
        </w:rPr>
        <w:t>的主管部门，区自主创新产业发展专项资金领导小组为本分项资金的决策审批机构，相关部门按有关规定履行职责。</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hint="eastAsia" w:ascii="仿宋_GB2312" w:hAnsi="仿宋_GB2312" w:eastAsia="仿宋_GB2312" w:cs="仿宋_GB2312"/>
          <w:kern w:val="0"/>
          <w:sz w:val="32"/>
          <w:szCs w:val="32"/>
          <w:u w:val="none"/>
          <w:lang w:eastAsia="zh-CN"/>
        </w:rPr>
      </w:pPr>
      <w:r>
        <w:rPr>
          <w:rFonts w:hint="eastAsia" w:ascii="楷体_GB2312" w:hAnsi="楷体_GB2312" w:eastAsia="楷体_GB2312" w:cs="楷体_GB2312"/>
          <w:b/>
          <w:color w:val="auto"/>
          <w:kern w:val="2"/>
          <w:sz w:val="32"/>
          <w:szCs w:val="24"/>
          <w:highlight w:val="none"/>
          <w:lang w:val="en-US" w:eastAsia="zh-CN" w:bidi="ar-SA"/>
        </w:rPr>
        <w:t xml:space="preserve">第三条  </w:t>
      </w:r>
      <w:r>
        <w:rPr>
          <w:rFonts w:hint="eastAsia" w:ascii="仿宋_GB2312" w:hAnsi="仿宋_GB2312" w:eastAsia="仿宋_GB2312" w:cs="仿宋_GB2312"/>
          <w:kern w:val="0"/>
          <w:sz w:val="32"/>
          <w:szCs w:val="32"/>
          <w:u w:val="none"/>
        </w:rPr>
        <w:t>本</w:t>
      </w:r>
      <w:r>
        <w:rPr>
          <w:rFonts w:hint="eastAsia" w:ascii="仿宋_GB2312" w:hAnsi="仿宋_GB2312" w:eastAsia="仿宋_GB2312" w:cs="仿宋_GB2312"/>
          <w:kern w:val="0"/>
          <w:sz w:val="32"/>
          <w:szCs w:val="32"/>
          <w:u w:val="none"/>
          <w:lang w:eastAsia="zh-CN"/>
        </w:rPr>
        <w:t>措施支持范围涵盖人才引进、培养、激励和服务，包括引进高端和紧缺人才、激励在南山创新创业的人才发展、培养符合南山经济社会发展需要的各类产业人才、开展各类人才服务</w:t>
      </w:r>
      <w:r>
        <w:rPr>
          <w:rFonts w:hint="default" w:ascii="仿宋_GB2312" w:hAnsi="仿宋_GB2312" w:eastAsia="仿宋_GB2312" w:cs="仿宋_GB2312"/>
          <w:kern w:val="0"/>
          <w:sz w:val="32"/>
          <w:szCs w:val="32"/>
          <w:u w:val="none"/>
          <w:lang w:eastAsia="zh-CN"/>
        </w:rPr>
        <w:t>等</w:t>
      </w:r>
      <w:r>
        <w:rPr>
          <w:rFonts w:hint="eastAsia" w:ascii="仿宋_GB2312" w:hAnsi="仿宋_GB2312" w:eastAsia="仿宋_GB2312" w:cs="仿宋_GB2312"/>
          <w:kern w:val="0"/>
          <w:sz w:val="32"/>
          <w:szCs w:val="32"/>
          <w:u w:val="none"/>
          <w:lang w:eastAsia="zh-CN"/>
        </w:rPr>
        <w:t>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24"/>
        <w:textAlignment w:val="auto"/>
        <w:outlineLvl w:val="9"/>
        <w:rPr>
          <w:rFonts w:hint="eastAsia" w:ascii="仿宋_GB2312" w:hAnsi="仿宋_GB2312" w:eastAsia="仿宋_GB2312" w:cs="仿宋_GB2312"/>
          <w:b w:val="0"/>
          <w:bCs w:val="0"/>
          <w:color w:val="auto"/>
          <w:spacing w:val="-4"/>
          <w:kern w:val="0"/>
          <w:sz w:val="32"/>
          <w:szCs w:val="32"/>
          <w:lang w:eastAsia="zh-CN"/>
        </w:rPr>
      </w:pPr>
      <w:r>
        <w:rPr>
          <w:rFonts w:hint="eastAsia" w:ascii="楷体_GB2312" w:hAnsi="楷体_GB2312" w:eastAsia="楷体_GB2312" w:cs="楷体_GB2312"/>
          <w:b/>
          <w:color w:val="auto"/>
          <w:kern w:val="2"/>
          <w:sz w:val="32"/>
          <w:szCs w:val="24"/>
          <w:highlight w:val="none"/>
          <w:lang w:val="en-US" w:eastAsia="zh-CN" w:bidi="ar-SA"/>
        </w:rPr>
        <w:t>第四条</w:t>
      </w:r>
      <w:r>
        <w:rPr>
          <w:rFonts w:hint="eastAsia" w:ascii="仿宋_GB2312" w:hAnsi="仿宋_GB2312" w:eastAsia="仿宋_GB2312" w:cs="仿宋_GB2312"/>
          <w:kern w:val="0"/>
          <w:sz w:val="32"/>
          <w:szCs w:val="32"/>
          <w:u w:val="none"/>
          <w:lang w:val="en-US" w:eastAsia="zh-CN"/>
        </w:rPr>
        <w:t xml:space="preserve"> </w:t>
      </w:r>
      <w:r>
        <w:rPr>
          <w:rFonts w:hint="eastAsia" w:ascii="仿宋_GB2312" w:hAnsi="仿宋_GB2312" w:cs="仿宋_GB2312"/>
          <w:kern w:val="0"/>
          <w:sz w:val="32"/>
          <w:szCs w:val="32"/>
          <w:u w:val="none"/>
          <w:lang w:val="en-US" w:eastAsia="zh-CN"/>
        </w:rPr>
        <w:t xml:space="preserve"> </w:t>
      </w:r>
      <w:r>
        <w:rPr>
          <w:rFonts w:hint="eastAsia" w:ascii="仿宋_GB2312" w:hAnsi="仿宋_GB2312" w:eastAsia="仿宋_GB2312" w:cs="仿宋_GB2312"/>
          <w:kern w:val="0"/>
          <w:sz w:val="32"/>
          <w:szCs w:val="32"/>
          <w:u w:val="none"/>
        </w:rPr>
        <w:t>本</w:t>
      </w:r>
      <w:r>
        <w:rPr>
          <w:rFonts w:hint="eastAsia" w:ascii="仿宋_GB2312" w:hAnsi="仿宋_GB2312" w:eastAsia="仿宋_GB2312" w:cs="仿宋_GB2312"/>
          <w:kern w:val="0"/>
          <w:sz w:val="32"/>
          <w:szCs w:val="32"/>
          <w:u w:val="none"/>
          <w:lang w:eastAsia="zh-CN"/>
        </w:rPr>
        <w:t>措施适用于</w:t>
      </w:r>
      <w:r>
        <w:rPr>
          <w:rFonts w:hint="eastAsia" w:ascii="仿宋_GB2312" w:hAnsi="仿宋_GB2312" w:eastAsia="仿宋_GB2312" w:cs="仿宋_GB2312"/>
          <w:b w:val="0"/>
          <w:bCs w:val="0"/>
          <w:color w:val="auto"/>
          <w:spacing w:val="-4"/>
          <w:kern w:val="0"/>
          <w:sz w:val="32"/>
          <w:szCs w:val="32"/>
        </w:rPr>
        <w:t>注册</w:t>
      </w:r>
      <w:r>
        <w:rPr>
          <w:rFonts w:hint="eastAsia" w:ascii="仿宋_GB2312" w:hAnsi="仿宋_GB2312" w:eastAsia="仿宋_GB2312" w:cs="仿宋_GB2312"/>
          <w:b w:val="0"/>
          <w:bCs w:val="0"/>
          <w:color w:val="auto"/>
          <w:spacing w:val="-4"/>
          <w:kern w:val="0"/>
          <w:sz w:val="32"/>
          <w:szCs w:val="32"/>
          <w:lang w:eastAsia="zh-CN"/>
        </w:rPr>
        <w:t>登记</w:t>
      </w:r>
      <w:r>
        <w:rPr>
          <w:rFonts w:hint="eastAsia" w:ascii="仿宋_GB2312" w:hAnsi="仿宋_GB2312" w:eastAsia="仿宋_GB2312" w:cs="仿宋_GB2312"/>
          <w:b w:val="0"/>
          <w:bCs w:val="0"/>
          <w:color w:val="auto"/>
          <w:spacing w:val="-4"/>
          <w:kern w:val="0"/>
          <w:sz w:val="32"/>
          <w:szCs w:val="32"/>
        </w:rPr>
        <w:t>、</w:t>
      </w:r>
      <w:r>
        <w:rPr>
          <w:rFonts w:hint="eastAsia" w:ascii="仿宋_GB2312" w:hAnsi="仿宋_GB2312" w:eastAsia="仿宋_GB2312" w:cs="仿宋_GB2312"/>
          <w:b w:val="0"/>
          <w:bCs w:val="0"/>
          <w:color w:val="auto"/>
          <w:spacing w:val="-4"/>
          <w:kern w:val="0"/>
          <w:sz w:val="32"/>
          <w:szCs w:val="32"/>
          <w:lang w:eastAsia="zh-CN"/>
        </w:rPr>
        <w:t>税务关系在南山区，且具有独立法人资格的企事业单位或社会组织。</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24"/>
        <w:textAlignment w:val="auto"/>
        <w:outlineLvl w:val="9"/>
        <w:rPr>
          <w:rFonts w:hint="eastAsia" w:ascii="仿宋_GB2312" w:hAnsi="仿宋_GB2312" w:eastAsia="仿宋_GB2312" w:cs="仿宋_GB2312"/>
          <w:b w:val="0"/>
          <w:bCs w:val="0"/>
          <w:color w:val="auto"/>
          <w:spacing w:val="-4"/>
          <w:kern w:val="0"/>
          <w:sz w:val="32"/>
          <w:szCs w:val="32"/>
        </w:rPr>
      </w:pPr>
      <w:r>
        <w:rPr>
          <w:rFonts w:hint="eastAsia" w:ascii="楷体_GB2312" w:hAnsi="楷体_GB2312" w:eastAsia="楷体_GB2312" w:cs="楷体_GB2312"/>
          <w:b/>
          <w:color w:val="auto"/>
          <w:kern w:val="2"/>
          <w:sz w:val="32"/>
          <w:szCs w:val="24"/>
          <w:highlight w:val="none"/>
          <w:lang w:val="en-US" w:eastAsia="zh-CN" w:bidi="ar-SA"/>
        </w:rPr>
        <w:t xml:space="preserve">第五条  </w:t>
      </w:r>
      <w:r>
        <w:rPr>
          <w:rFonts w:hint="eastAsia" w:ascii="仿宋_GB2312" w:hAnsi="仿宋_GB2312" w:eastAsia="仿宋_GB2312" w:cs="仿宋_GB2312"/>
          <w:b w:val="0"/>
          <w:bCs w:val="0"/>
          <w:color w:val="auto"/>
          <w:spacing w:val="-4"/>
          <w:kern w:val="0"/>
          <w:sz w:val="32"/>
          <w:szCs w:val="32"/>
        </w:rPr>
        <w:t>本措施申报主体原则上应符合《南山区自主创新产业发展专项资金管理办法》规定的注册地、独立法人</w:t>
      </w:r>
      <w:r>
        <w:rPr>
          <w:rFonts w:hint="eastAsia" w:ascii="仿宋_GB2312" w:hAnsi="仿宋_GB2312" w:eastAsia="仿宋_GB2312" w:cs="仿宋_GB2312"/>
          <w:b w:val="0"/>
          <w:bCs w:val="0"/>
          <w:color w:val="auto"/>
          <w:spacing w:val="-4"/>
          <w:kern w:val="0"/>
          <w:sz w:val="32"/>
          <w:szCs w:val="32"/>
          <w:lang w:eastAsia="zh-CN"/>
        </w:rPr>
        <w:t>、</w:t>
      </w:r>
      <w:r>
        <w:rPr>
          <w:rFonts w:hint="eastAsia" w:ascii="仿宋_GB2312" w:hAnsi="仿宋_GB2312" w:eastAsia="仿宋_GB2312" w:cs="仿宋_GB2312"/>
          <w:b w:val="0"/>
          <w:bCs w:val="0"/>
          <w:color w:val="auto"/>
          <w:spacing w:val="-4"/>
          <w:kern w:val="0"/>
          <w:sz w:val="32"/>
          <w:szCs w:val="32"/>
        </w:rPr>
        <w:t>地方财力贡献等相关条件，以下情形除外：</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24"/>
        <w:textAlignment w:val="auto"/>
        <w:outlineLvl w:val="9"/>
        <w:rPr>
          <w:rFonts w:hint="eastAsia" w:ascii="仿宋_GB2312" w:hAnsi="仿宋_GB2312" w:eastAsia="仿宋_GB2312" w:cs="仿宋_GB2312"/>
          <w:b w:val="0"/>
          <w:bCs w:val="0"/>
          <w:color w:val="auto"/>
          <w:spacing w:val="-4"/>
          <w:kern w:val="0"/>
          <w:sz w:val="32"/>
          <w:szCs w:val="32"/>
        </w:rPr>
      </w:pPr>
      <w:r>
        <w:rPr>
          <w:rFonts w:hint="eastAsia" w:ascii="仿宋_GB2312" w:hAnsi="仿宋_GB2312" w:eastAsia="仿宋_GB2312" w:cs="仿宋_GB2312"/>
          <w:b w:val="0"/>
          <w:bCs w:val="0"/>
          <w:color w:val="auto"/>
          <w:spacing w:val="-4"/>
          <w:kern w:val="0"/>
          <w:sz w:val="32"/>
          <w:szCs w:val="32"/>
        </w:rPr>
        <w:t>（一）</w:t>
      </w:r>
      <w:r>
        <w:rPr>
          <w:rFonts w:hint="eastAsia" w:ascii="仿宋_GB2312" w:hAnsi="仿宋_GB2312" w:eastAsia="仿宋_GB2312" w:cs="仿宋_GB2312"/>
          <w:b w:val="0"/>
          <w:bCs w:val="0"/>
          <w:color w:val="auto"/>
          <w:spacing w:val="-4"/>
          <w:kern w:val="0"/>
          <w:sz w:val="32"/>
          <w:szCs w:val="32"/>
          <w:lang w:eastAsia="zh-CN"/>
        </w:rPr>
        <w:t>申报本措施的金融机构一级分支机构及持牌专营机构可不受</w:t>
      </w:r>
      <w:r>
        <w:rPr>
          <w:rFonts w:hint="eastAsia" w:ascii="仿宋_GB2312" w:hAnsi="仿宋_GB2312" w:eastAsia="仿宋_GB2312" w:cs="仿宋_GB2312"/>
          <w:b w:val="0"/>
          <w:bCs w:val="0"/>
          <w:color w:val="auto"/>
          <w:spacing w:val="-4"/>
          <w:kern w:val="0"/>
          <w:sz w:val="32"/>
          <w:szCs w:val="32"/>
        </w:rPr>
        <w:t>独立法人资格条件限制。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24"/>
        <w:textAlignment w:val="auto"/>
        <w:outlineLvl w:val="9"/>
        <w:rPr>
          <w:rFonts w:hint="eastAsia" w:ascii="仿宋_GB2312" w:hAnsi="仿宋_GB2312" w:eastAsia="仿宋_GB2312" w:cs="仿宋_GB2312"/>
          <w:b w:val="0"/>
          <w:bCs w:val="0"/>
          <w:color w:val="auto"/>
          <w:spacing w:val="-4"/>
          <w:kern w:val="0"/>
          <w:sz w:val="32"/>
          <w:szCs w:val="32"/>
        </w:rPr>
      </w:pPr>
      <w:r>
        <w:rPr>
          <w:rFonts w:hint="eastAsia" w:ascii="仿宋_GB2312" w:hAnsi="仿宋_GB2312" w:eastAsia="仿宋_GB2312" w:cs="仿宋_GB2312"/>
          <w:b w:val="0"/>
          <w:bCs w:val="0"/>
          <w:color w:val="auto"/>
          <w:spacing w:val="-4"/>
          <w:kern w:val="0"/>
          <w:sz w:val="32"/>
          <w:szCs w:val="32"/>
        </w:rPr>
        <w:t>（二）</w:t>
      </w:r>
      <w:r>
        <w:rPr>
          <w:rFonts w:hint="default" w:ascii="仿宋_GB2312" w:hAnsi="仿宋_GB2312" w:eastAsia="仿宋_GB2312" w:cs="仿宋_GB2312"/>
          <w:b w:val="0"/>
          <w:bCs w:val="0"/>
          <w:color w:val="auto"/>
          <w:spacing w:val="-4"/>
          <w:kern w:val="0"/>
          <w:sz w:val="32"/>
          <w:szCs w:val="32"/>
        </w:rPr>
        <w:t>申报</w:t>
      </w:r>
      <w:r>
        <w:rPr>
          <w:rFonts w:hint="eastAsia" w:ascii="仿宋_GB2312" w:hAnsi="仿宋_GB2312" w:eastAsia="仿宋_GB2312" w:cs="仿宋_GB2312"/>
          <w:b w:val="0"/>
          <w:bCs w:val="0"/>
          <w:color w:val="auto"/>
          <w:spacing w:val="-4"/>
          <w:kern w:val="0"/>
          <w:sz w:val="32"/>
          <w:szCs w:val="32"/>
          <w:lang w:val="en-US" w:eastAsia="zh-CN"/>
        </w:rPr>
        <w:t>新引进落户人才扶持、新引进企业人才安置</w:t>
      </w:r>
      <w:r>
        <w:rPr>
          <w:rFonts w:hint="default" w:ascii="仿宋_GB2312" w:hAnsi="仿宋_GB2312" w:eastAsia="仿宋_GB2312" w:cs="仿宋_GB2312"/>
          <w:b w:val="0"/>
          <w:bCs w:val="0"/>
          <w:color w:val="auto"/>
          <w:spacing w:val="-4"/>
          <w:kern w:val="0"/>
          <w:sz w:val="32"/>
          <w:szCs w:val="32"/>
          <w:lang w:eastAsia="zh-CN"/>
        </w:rPr>
        <w:t>补贴</w:t>
      </w:r>
      <w:r>
        <w:rPr>
          <w:rFonts w:hint="eastAsia" w:ascii="仿宋_GB2312" w:hAnsi="仿宋_GB2312" w:eastAsia="仿宋_GB2312" w:cs="仿宋_GB2312"/>
          <w:b w:val="0"/>
          <w:bCs w:val="0"/>
          <w:color w:val="auto"/>
          <w:spacing w:val="-4"/>
          <w:kern w:val="0"/>
          <w:sz w:val="32"/>
          <w:szCs w:val="32"/>
          <w:lang w:val="en-US" w:eastAsia="zh-CN"/>
        </w:rPr>
        <w:t>、</w:t>
      </w:r>
      <w:r>
        <w:rPr>
          <w:rFonts w:hint="default" w:ascii="仿宋_GB2312" w:hAnsi="仿宋_GB2312" w:eastAsia="仿宋_GB2312" w:cs="仿宋_GB2312"/>
          <w:b w:val="0"/>
          <w:bCs w:val="0"/>
          <w:color w:val="auto"/>
          <w:spacing w:val="-4"/>
          <w:kern w:val="0"/>
          <w:sz w:val="32"/>
          <w:szCs w:val="32"/>
          <w:lang w:eastAsia="zh-CN"/>
        </w:rPr>
        <w:t>青年</w:t>
      </w:r>
      <w:r>
        <w:rPr>
          <w:rFonts w:hint="eastAsia" w:ascii="仿宋_GB2312" w:hAnsi="仿宋_GB2312" w:eastAsia="仿宋_GB2312" w:cs="仿宋_GB2312"/>
          <w:b w:val="0"/>
          <w:bCs w:val="0"/>
          <w:color w:val="auto"/>
          <w:spacing w:val="-4"/>
          <w:kern w:val="0"/>
          <w:sz w:val="32"/>
          <w:szCs w:val="32"/>
          <w:lang w:val="en-US" w:eastAsia="zh-CN"/>
        </w:rPr>
        <w:t>人才培养扶持、</w:t>
      </w:r>
      <w:r>
        <w:rPr>
          <w:rFonts w:hint="default" w:ascii="仿宋_GB2312" w:hAnsi="仿宋_GB2312" w:eastAsia="仿宋_GB2312" w:cs="仿宋_GB2312"/>
          <w:b w:val="0"/>
          <w:bCs w:val="0"/>
          <w:color w:val="auto"/>
          <w:spacing w:val="-4"/>
          <w:kern w:val="0"/>
          <w:sz w:val="32"/>
          <w:szCs w:val="32"/>
          <w:lang w:eastAsia="zh-CN"/>
        </w:rPr>
        <w:t>技能人才培养载体建设扶持</w:t>
      </w:r>
      <w:r>
        <w:rPr>
          <w:rFonts w:hint="eastAsia" w:ascii="仿宋_GB2312" w:hAnsi="仿宋_GB2312" w:eastAsia="仿宋_GB2312" w:cs="仿宋_GB2312"/>
          <w:b w:val="0"/>
          <w:bCs w:val="0"/>
          <w:color w:val="auto"/>
          <w:spacing w:val="-4"/>
          <w:kern w:val="0"/>
          <w:sz w:val="32"/>
          <w:szCs w:val="32"/>
          <w:lang w:val="en-US" w:eastAsia="zh-CN"/>
        </w:rPr>
        <w:t>、</w:t>
      </w:r>
      <w:r>
        <w:rPr>
          <w:rFonts w:hint="default" w:ascii="仿宋_GB2312" w:hAnsi="仿宋_GB2312" w:eastAsia="仿宋_GB2312" w:cs="仿宋_GB2312"/>
          <w:b w:val="0"/>
          <w:bCs w:val="0"/>
          <w:color w:val="auto"/>
          <w:spacing w:val="-4"/>
          <w:kern w:val="0"/>
          <w:sz w:val="32"/>
          <w:szCs w:val="32"/>
          <w:lang w:eastAsia="zh-CN"/>
        </w:rPr>
        <w:t>中高层次人才培养扶持</w:t>
      </w:r>
      <w:r>
        <w:rPr>
          <w:rFonts w:hint="eastAsia" w:ascii="仿宋_GB2312" w:hAnsi="仿宋_GB2312" w:eastAsia="仿宋_GB2312" w:cs="仿宋_GB2312"/>
          <w:b w:val="0"/>
          <w:bCs w:val="0"/>
          <w:color w:val="auto"/>
          <w:spacing w:val="-4"/>
          <w:kern w:val="0"/>
          <w:sz w:val="32"/>
          <w:szCs w:val="32"/>
          <w:lang w:val="en-US" w:eastAsia="zh-CN"/>
        </w:rPr>
        <w:t>、科技人才创新创业</w:t>
      </w:r>
      <w:r>
        <w:rPr>
          <w:rFonts w:hint="eastAsia" w:ascii="仿宋_GB2312" w:hAnsi="仿宋_GB2312" w:eastAsia="仿宋_GB2312" w:cs="仿宋_GB2312"/>
          <w:b w:val="0"/>
          <w:bCs w:val="0"/>
          <w:color w:val="auto"/>
          <w:spacing w:val="-4"/>
          <w:kern w:val="0"/>
          <w:sz w:val="32"/>
          <w:szCs w:val="32"/>
          <w:lang w:eastAsia="zh-CN"/>
        </w:rPr>
        <w:t>支持</w:t>
      </w:r>
      <w:r>
        <w:rPr>
          <w:rFonts w:hint="eastAsia" w:ascii="仿宋_GB2312" w:hAnsi="仿宋_GB2312" w:eastAsia="仿宋_GB2312" w:cs="仿宋_GB2312"/>
          <w:b w:val="0"/>
          <w:bCs w:val="0"/>
          <w:color w:val="auto"/>
          <w:spacing w:val="-4"/>
          <w:kern w:val="0"/>
          <w:sz w:val="32"/>
          <w:szCs w:val="32"/>
          <w:lang w:val="en-US" w:eastAsia="zh-CN"/>
        </w:rPr>
        <w:t>、</w:t>
      </w:r>
      <w:r>
        <w:rPr>
          <w:rFonts w:hint="eastAsia" w:ascii="仿宋_GB2312" w:hAnsi="仿宋_GB2312" w:eastAsia="仿宋_GB2312" w:cs="仿宋_GB2312"/>
          <w:b w:val="0"/>
          <w:bCs w:val="0"/>
          <w:sz w:val="32"/>
          <w:szCs w:val="32"/>
        </w:rPr>
        <w:t>深港澳台创新合作支持</w:t>
      </w:r>
      <w:r>
        <w:rPr>
          <w:rFonts w:hint="eastAsia" w:ascii="仿宋_GB2312" w:hAnsi="仿宋_GB2312" w:eastAsia="仿宋_GB2312" w:cs="仿宋_GB2312"/>
          <w:b w:val="0"/>
          <w:bCs w:val="0"/>
          <w:color w:val="auto"/>
          <w:spacing w:val="-4"/>
          <w:kern w:val="0"/>
          <w:sz w:val="32"/>
          <w:szCs w:val="32"/>
          <w:lang w:val="en-US" w:eastAsia="zh-CN"/>
        </w:rPr>
        <w:t>、</w:t>
      </w:r>
      <w:r>
        <w:rPr>
          <w:rFonts w:hint="default" w:ascii="仿宋_GB2312" w:hAnsi="仿宋_GB2312" w:eastAsia="仿宋_GB2312" w:cs="仿宋_GB2312"/>
          <w:b w:val="0"/>
          <w:bCs w:val="0"/>
          <w:color w:val="auto"/>
          <w:spacing w:val="-4"/>
          <w:kern w:val="0"/>
          <w:sz w:val="32"/>
          <w:szCs w:val="32"/>
          <w:lang w:eastAsia="zh-CN"/>
        </w:rPr>
        <w:t>开发新职业工种奖励</w:t>
      </w:r>
      <w:r>
        <w:rPr>
          <w:rFonts w:hint="eastAsia" w:ascii="仿宋_GB2312" w:hAnsi="仿宋_GB2312" w:eastAsia="仿宋_GB2312" w:cs="仿宋_GB2312"/>
          <w:b w:val="0"/>
          <w:bCs w:val="0"/>
          <w:color w:val="auto"/>
          <w:spacing w:val="-4"/>
          <w:kern w:val="0"/>
          <w:sz w:val="32"/>
          <w:szCs w:val="32"/>
          <w:lang w:val="en-US" w:eastAsia="zh-CN"/>
        </w:rPr>
        <w:t>、</w:t>
      </w:r>
      <w:r>
        <w:rPr>
          <w:rFonts w:hint="eastAsia" w:ascii="仿宋_GB2312" w:hAnsi="仿宋_GB2312" w:eastAsia="仿宋_GB2312" w:cs="仿宋_GB2312"/>
          <w:b w:val="0"/>
          <w:bCs/>
          <w:color w:val="auto"/>
          <w:sz w:val="32"/>
          <w:szCs w:val="32"/>
          <w:lang w:val="en" w:eastAsia="zh-CN"/>
        </w:rPr>
        <w:t>金融专业资格考试奖励</w:t>
      </w:r>
      <w:r>
        <w:rPr>
          <w:rFonts w:hint="eastAsia" w:ascii="仿宋_GB2312" w:hAnsi="仿宋_GB2312" w:eastAsia="仿宋_GB2312" w:cs="仿宋_GB2312"/>
          <w:b w:val="0"/>
          <w:bCs w:val="0"/>
          <w:color w:val="auto"/>
          <w:spacing w:val="-4"/>
          <w:kern w:val="0"/>
          <w:sz w:val="32"/>
          <w:szCs w:val="32"/>
          <w:lang w:val="en-US" w:eastAsia="zh-CN"/>
        </w:rPr>
        <w:t>、国际人才交流学术活动支持</w:t>
      </w:r>
      <w:r>
        <w:rPr>
          <w:rFonts w:hint="eastAsia" w:ascii="仿宋_GB2312" w:hAnsi="仿宋_GB2312" w:eastAsia="仿宋_GB2312" w:cs="仿宋_GB2312"/>
          <w:b w:val="0"/>
          <w:bCs w:val="0"/>
          <w:color w:val="auto"/>
          <w:spacing w:val="-4"/>
          <w:kern w:val="0"/>
          <w:sz w:val="32"/>
          <w:szCs w:val="32"/>
        </w:rPr>
        <w:t>的主体不受区级财力贡献限制。</w:t>
      </w:r>
    </w:p>
    <w:p>
      <w:pPr>
        <w:pStyle w:val="12"/>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firstLine="320"/>
        <w:jc w:val="center"/>
        <w:textAlignment w:val="auto"/>
        <w:rPr>
          <w:rFonts w:hint="eastAsia" w:ascii="仿宋_GB2312" w:hAnsi="仿宋_GB2312" w:eastAsia="仿宋_GB2312" w:cs="仿宋_GB2312"/>
          <w:b w:val="0"/>
          <w:bCs w:val="0"/>
          <w:color w:val="auto"/>
          <w:spacing w:val="-4"/>
          <w:kern w:val="0"/>
          <w:sz w:val="32"/>
          <w:szCs w:val="32"/>
        </w:rPr>
      </w:pPr>
    </w:p>
    <w:p>
      <w:pPr>
        <w:pStyle w:val="12"/>
        <w:keepNext w:val="0"/>
        <w:keepLines w:val="0"/>
        <w:pageBreakBefore w:val="0"/>
        <w:widowControl w:val="0"/>
        <w:numPr>
          <w:ilvl w:val="0"/>
          <w:numId w:val="1"/>
        </w:numPr>
        <w:kinsoku/>
        <w:wordWrap/>
        <w:overflowPunct/>
        <w:topLinePunct w:val="0"/>
        <w:autoSpaceDE/>
        <w:autoSpaceDN/>
        <w:bidi w:val="0"/>
        <w:adjustRightInd/>
        <w:snapToGrid/>
        <w:spacing w:beforeAutospacing="0" w:after="0" w:afterAutospacing="0" w:line="560" w:lineRule="exact"/>
        <w:ind w:left="0" w:leftChars="0" w:firstLine="320"/>
        <w:jc w:val="center"/>
        <w:textAlignment w:val="auto"/>
        <w:rPr>
          <w:rFonts w:hint="eastAsia" w:ascii="黑体" w:hAnsi="黑体" w:eastAsia="黑体"/>
          <w:sz w:val="32"/>
          <w:szCs w:val="32"/>
        </w:rPr>
      </w:pPr>
      <w:r>
        <w:rPr>
          <w:rFonts w:hint="eastAsia" w:ascii="黑体" w:hAnsi="黑体" w:eastAsia="黑体"/>
          <w:sz w:val="32"/>
          <w:szCs w:val="32"/>
        </w:rPr>
        <w:t xml:space="preserve"> 人才引进</w:t>
      </w:r>
      <w:r>
        <w:rPr>
          <w:rFonts w:hint="eastAsia" w:ascii="黑体" w:hAnsi="黑体" w:eastAsia="黑体"/>
          <w:sz w:val="32"/>
          <w:szCs w:val="32"/>
          <w:lang w:val="en-US" w:eastAsia="zh-CN"/>
        </w:rPr>
        <w:t>与培养</w:t>
      </w:r>
      <w:r>
        <w:rPr>
          <w:rFonts w:hint="eastAsia" w:ascii="黑体" w:hAnsi="黑体" w:eastAsia="黑体"/>
          <w:sz w:val="32"/>
          <w:szCs w:val="32"/>
        </w:rPr>
        <w:t>支持</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0" w:leftChars="0"/>
        <w:textAlignment w:val="auto"/>
        <w:rPr>
          <w:rFonts w:hint="default" w:ascii="仿宋_GB2312" w:hAnsi="仿宋_GB2312" w:eastAsia="仿宋_GB2312" w:cs="仿宋_GB2312"/>
          <w:b/>
          <w:bCs w:val="0"/>
          <w:sz w:val="32"/>
          <w:szCs w:val="32"/>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0" w:leftChars="0" w:firstLine="643" w:firstLineChars="200"/>
        <w:textAlignment w:val="auto"/>
        <w:rPr>
          <w:rFonts w:hint="eastAsia" w:ascii="楷体_GB2312" w:hAnsi="楷体_GB2312" w:eastAsia="楷体_GB2312" w:cs="楷体_GB2312"/>
          <w:b/>
          <w:color w:val="auto"/>
          <w:kern w:val="2"/>
          <w:sz w:val="32"/>
          <w:szCs w:val="24"/>
          <w:highlight w:val="none"/>
          <w:lang w:val="en-US" w:eastAsia="zh-CN" w:bidi="ar-SA"/>
        </w:rPr>
      </w:pPr>
      <w:r>
        <w:rPr>
          <w:rFonts w:hint="default" w:ascii="楷体_GB2312" w:hAnsi="楷体_GB2312" w:eastAsia="楷体_GB2312" w:cs="楷体_GB2312"/>
          <w:b/>
          <w:color w:val="auto"/>
          <w:kern w:val="2"/>
          <w:sz w:val="32"/>
          <w:szCs w:val="24"/>
          <w:highlight w:val="none"/>
          <w:lang w:val="en-US" w:eastAsia="zh-CN" w:bidi="ar-SA"/>
        </w:rPr>
        <w:t xml:space="preserve">第六条 </w:t>
      </w:r>
      <w:r>
        <w:rPr>
          <w:rFonts w:hint="eastAsia" w:ascii="楷体_GB2312" w:hAnsi="楷体_GB2312" w:eastAsia="楷体_GB2312" w:cs="楷体_GB2312"/>
          <w:b/>
          <w:color w:val="auto"/>
          <w:kern w:val="2"/>
          <w:sz w:val="32"/>
          <w:szCs w:val="24"/>
          <w:highlight w:val="none"/>
          <w:lang w:val="en-US" w:eastAsia="zh-CN" w:bidi="ar-SA"/>
        </w:rPr>
        <w:t xml:space="preserve"> 新引进落户人才扶持</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val="en-US" w:eastAsia="zh-CN"/>
        </w:rPr>
        <w:t>南山区统计在库企业</w:t>
      </w:r>
      <w:r>
        <w:rPr>
          <w:rFonts w:hint="eastAsia" w:ascii="仿宋_GB2312" w:hAnsi="仿宋_GB2312" w:eastAsia="仿宋_GB2312" w:cs="仿宋_GB2312"/>
          <w:sz w:val="32"/>
          <w:szCs w:val="32"/>
        </w:rPr>
        <w:t>新引进入户</w:t>
      </w:r>
      <w:r>
        <w:rPr>
          <w:rFonts w:hint="eastAsia" w:ascii="仿宋_GB2312" w:hAnsi="仿宋_GB2312" w:eastAsia="仿宋_GB2312" w:cs="仿宋_GB2312"/>
          <w:sz w:val="32"/>
          <w:szCs w:val="32"/>
          <w:lang w:val="en-US" w:eastAsia="zh-CN"/>
        </w:rPr>
        <w:t>且引进时年龄30周岁以下，</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en-US" w:eastAsia="zh-CN"/>
        </w:rPr>
        <w:t>世界大学综合排名前150位的</w:t>
      </w:r>
      <w:r>
        <w:rPr>
          <w:rFonts w:hint="eastAsia" w:ascii="仿宋_GB2312" w:hAnsi="仿宋_GB2312" w:eastAsia="仿宋_GB2312" w:cs="仿宋_GB2312"/>
          <w:sz w:val="32"/>
          <w:szCs w:val="32"/>
        </w:rPr>
        <w:t>世界知名大学</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color w:val="auto"/>
          <w:sz w:val="32"/>
          <w:szCs w:val="32"/>
        </w:rPr>
        <w:t>教育部“</w:t>
      </w:r>
      <w:r>
        <w:rPr>
          <w:rFonts w:hint="eastAsia" w:ascii="仿宋_GB2312" w:hAnsi="仿宋_GB2312" w:eastAsia="仿宋_GB2312" w:cs="仿宋_GB2312"/>
          <w:color w:val="auto"/>
          <w:sz w:val="32"/>
          <w:szCs w:val="32"/>
          <w:lang w:val="en-US" w:eastAsia="zh-CN"/>
        </w:rPr>
        <w:t>双一流</w:t>
      </w:r>
      <w:r>
        <w:rPr>
          <w:rFonts w:hint="eastAsia" w:ascii="仿宋_GB2312" w:hAnsi="仿宋_GB2312" w:eastAsia="仿宋_GB2312" w:cs="仿宋_GB2312"/>
          <w:color w:val="auto"/>
          <w:sz w:val="32"/>
          <w:szCs w:val="32"/>
        </w:rPr>
        <w:t>”建设高校</w:t>
      </w:r>
      <w:r>
        <w:rPr>
          <w:rFonts w:hint="eastAsia" w:ascii="仿宋_GB2312" w:hAnsi="仿宋_GB2312" w:eastAsia="仿宋_GB2312" w:cs="仿宋_GB2312"/>
          <w:color w:val="auto"/>
          <w:sz w:val="32"/>
          <w:szCs w:val="32"/>
          <w:lang w:val="en-US" w:eastAsia="zh-CN"/>
        </w:rPr>
        <w:t>及建设学科</w:t>
      </w:r>
      <w:r>
        <w:rPr>
          <w:rFonts w:hint="eastAsia" w:ascii="仿宋_GB2312" w:hAnsi="仿宋_GB2312" w:eastAsia="仿宋_GB2312" w:cs="仿宋_GB2312"/>
          <w:sz w:val="32"/>
          <w:szCs w:val="32"/>
        </w:rPr>
        <w:t>获得</w:t>
      </w:r>
      <w:r>
        <w:rPr>
          <w:rFonts w:hint="eastAsia" w:ascii="仿宋_GB2312" w:hAnsi="仿宋_GB2312" w:eastAsia="仿宋_GB2312" w:cs="仿宋_GB2312"/>
          <w:sz w:val="32"/>
          <w:szCs w:val="32"/>
          <w:lang w:eastAsia="zh-CN"/>
        </w:rPr>
        <w:t>全日制</w:t>
      </w:r>
      <w:r>
        <w:rPr>
          <w:rFonts w:hint="eastAsia" w:ascii="仿宋_GB2312" w:hAnsi="仿宋_GB2312" w:eastAsia="仿宋_GB2312" w:cs="仿宋_GB2312"/>
          <w:sz w:val="32"/>
          <w:szCs w:val="32"/>
        </w:rPr>
        <w:t>硕士学位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en-US" w:eastAsia="zh-CN"/>
        </w:rPr>
        <w:t>该</w:t>
      </w:r>
      <w:r>
        <w:rPr>
          <w:rFonts w:hint="eastAsia" w:ascii="仿宋_GB2312" w:hAnsi="仿宋_GB2312" w:eastAsia="仿宋_GB2312" w:cs="仿宋_GB2312"/>
          <w:sz w:val="32"/>
          <w:szCs w:val="32"/>
        </w:rPr>
        <w:t>企业连续工作满一年的人员给予3万元的一次性生活补贴。</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0" w:leftChars="0" w:firstLine="643" w:firstLineChars="200"/>
        <w:textAlignment w:val="auto"/>
        <w:rPr>
          <w:rFonts w:hint="eastAsia" w:ascii="楷体_GB2312" w:hAnsi="楷体_GB2312" w:eastAsia="楷体_GB2312" w:cs="楷体_GB2312"/>
          <w:b/>
          <w:color w:val="auto"/>
          <w:kern w:val="2"/>
          <w:sz w:val="32"/>
          <w:szCs w:val="24"/>
          <w:highlight w:val="none"/>
          <w:lang w:val="en-US" w:eastAsia="zh-CN" w:bidi="ar-SA"/>
        </w:rPr>
      </w:pPr>
      <w:r>
        <w:rPr>
          <w:rFonts w:hint="eastAsia" w:ascii="楷体_GB2312" w:hAnsi="楷体_GB2312" w:eastAsia="楷体_GB2312" w:cs="楷体_GB2312"/>
          <w:b/>
          <w:color w:val="auto"/>
          <w:kern w:val="2"/>
          <w:sz w:val="32"/>
          <w:szCs w:val="24"/>
          <w:highlight w:val="none"/>
          <w:lang w:val="en-US" w:eastAsia="zh-CN" w:bidi="ar-SA"/>
        </w:rPr>
        <w:t>第七条  急需紧缺产业人才引荐</w:t>
      </w:r>
      <w:r>
        <w:rPr>
          <w:rFonts w:hint="default" w:ascii="楷体_GB2312" w:hAnsi="楷体_GB2312" w:eastAsia="楷体_GB2312" w:cs="楷体_GB2312"/>
          <w:b/>
          <w:color w:val="auto"/>
          <w:kern w:val="2"/>
          <w:sz w:val="32"/>
          <w:szCs w:val="24"/>
          <w:highlight w:val="none"/>
          <w:lang w:val="en-US" w:eastAsia="zh-CN" w:bidi="ar-SA"/>
        </w:rPr>
        <w:t>机构扶持</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鼓励并支持辖区内人力资源服务机构引进南山区重点产业发展急需紧缺人才，</w:t>
      </w:r>
      <w:r>
        <w:rPr>
          <w:rFonts w:hint="eastAsia" w:ascii="仿宋" w:hAnsi="仿宋" w:eastAsia="仿宋" w:cs="仿宋"/>
          <w:b w:val="0"/>
          <w:bCs w:val="0"/>
          <w:color w:val="000000"/>
          <w:sz w:val="32"/>
          <w:szCs w:val="32"/>
          <w:highlight w:val="none"/>
          <w:lang w:val="en-US" w:eastAsia="zh-CN"/>
        </w:rPr>
        <w:t>对首次引进与用人企业签订1年以上劳动合同、并依法纳税和缴纳社会保险费的人力资源服务机构可获得奖励。</w:t>
      </w:r>
      <w:r>
        <w:rPr>
          <w:rFonts w:hint="eastAsia" w:ascii="仿宋" w:hAnsi="仿宋" w:eastAsia="仿宋" w:cs="仿宋"/>
          <w:b w:val="0"/>
          <w:bCs w:val="0"/>
          <w:color w:val="auto"/>
          <w:sz w:val="32"/>
          <w:szCs w:val="32"/>
          <w:highlight w:val="none"/>
          <w:lang w:val="en-US" w:eastAsia="zh-CN"/>
        </w:rPr>
        <w:t>单笔奖励资金不超过20万元，每家机构每年奖励最高不超过100万元。</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0" w:leftChars="0" w:firstLine="643" w:firstLineChars="200"/>
        <w:textAlignment w:val="auto"/>
        <w:rPr>
          <w:rFonts w:hint="eastAsia" w:ascii="楷体_GB2312" w:hAnsi="楷体_GB2312" w:eastAsia="楷体_GB2312" w:cs="楷体_GB2312"/>
          <w:b/>
          <w:color w:val="auto"/>
          <w:kern w:val="2"/>
          <w:sz w:val="32"/>
          <w:szCs w:val="24"/>
          <w:highlight w:val="none"/>
          <w:lang w:val="en-US" w:eastAsia="zh-CN" w:bidi="ar-SA"/>
        </w:rPr>
      </w:pPr>
      <w:r>
        <w:rPr>
          <w:rFonts w:hint="eastAsia" w:ascii="楷体_GB2312" w:hAnsi="楷体_GB2312" w:eastAsia="楷体_GB2312" w:cs="楷体_GB2312"/>
          <w:b/>
          <w:color w:val="auto"/>
          <w:kern w:val="2"/>
          <w:sz w:val="32"/>
          <w:szCs w:val="24"/>
          <w:highlight w:val="none"/>
          <w:lang w:val="en-US" w:eastAsia="zh-CN" w:bidi="ar-SA"/>
        </w:rPr>
        <w:t>第八条  新引进企业人才安置</w:t>
      </w:r>
      <w:r>
        <w:rPr>
          <w:rFonts w:hint="default" w:ascii="楷体_GB2312" w:hAnsi="楷体_GB2312" w:eastAsia="楷体_GB2312" w:cs="楷体_GB2312"/>
          <w:b/>
          <w:color w:val="auto"/>
          <w:kern w:val="2"/>
          <w:sz w:val="32"/>
          <w:szCs w:val="24"/>
          <w:highlight w:val="none"/>
          <w:lang w:val="en-US" w:eastAsia="zh-CN" w:bidi="ar-SA"/>
        </w:rPr>
        <w:t>补贴</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对符合条件的新引进企业，依规模和贡献等条件，给予企业</w:t>
      </w:r>
      <w:r>
        <w:rPr>
          <w:rFonts w:hint="default" w:ascii="仿宋_GB2312" w:hAnsi="仿宋_GB2312" w:eastAsia="仿宋_GB2312" w:cs="仿宋_GB2312"/>
          <w:sz w:val="32"/>
          <w:szCs w:val="32"/>
        </w:rPr>
        <w:t>核心人才</w:t>
      </w:r>
      <w:r>
        <w:rPr>
          <w:rFonts w:hint="eastAsia" w:ascii="仿宋_GB2312" w:hAnsi="仿宋_GB2312" w:eastAsia="仿宋_GB2312" w:cs="仿宋_GB2312"/>
          <w:sz w:val="32"/>
          <w:szCs w:val="32"/>
          <w:lang w:eastAsia="zh-CN"/>
        </w:rPr>
        <w:t>一次性安置</w:t>
      </w:r>
      <w:r>
        <w:rPr>
          <w:rFonts w:hint="default" w:ascii="仿宋_GB2312" w:hAnsi="仿宋_GB2312" w:eastAsia="仿宋_GB2312" w:cs="仿宋_GB2312"/>
          <w:sz w:val="32"/>
          <w:szCs w:val="32"/>
          <w:lang w:eastAsia="zh-CN"/>
        </w:rPr>
        <w:t>补贴，每家企业最高</w:t>
      </w:r>
      <w:r>
        <w:rPr>
          <w:rFonts w:hint="eastAsia" w:ascii="仿宋_GB2312" w:hAnsi="仿宋_GB2312" w:eastAsia="仿宋_GB2312" w:cs="仿宋_GB2312"/>
          <w:sz w:val="32"/>
          <w:szCs w:val="32"/>
        </w:rPr>
        <w:t>600万元。</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0" w:leftChars="0" w:firstLine="643" w:firstLineChars="200"/>
        <w:textAlignment w:val="auto"/>
        <w:rPr>
          <w:rFonts w:hint="eastAsia" w:ascii="楷体_GB2312" w:hAnsi="楷体_GB2312" w:eastAsia="楷体_GB2312" w:cs="楷体_GB2312"/>
          <w:b/>
          <w:color w:val="auto"/>
          <w:kern w:val="2"/>
          <w:sz w:val="32"/>
          <w:szCs w:val="24"/>
          <w:highlight w:val="none"/>
          <w:lang w:val="en-US" w:eastAsia="zh-CN" w:bidi="ar-SA"/>
        </w:rPr>
      </w:pPr>
      <w:r>
        <w:rPr>
          <w:rFonts w:hint="eastAsia" w:ascii="楷体_GB2312" w:hAnsi="楷体_GB2312" w:eastAsia="楷体_GB2312" w:cs="楷体_GB2312"/>
          <w:b/>
          <w:color w:val="auto"/>
          <w:kern w:val="2"/>
          <w:sz w:val="32"/>
          <w:szCs w:val="24"/>
          <w:highlight w:val="none"/>
          <w:lang w:val="en-US" w:eastAsia="zh-CN" w:bidi="ar-SA"/>
        </w:rPr>
        <w:t xml:space="preserve">第九条  </w:t>
      </w:r>
      <w:r>
        <w:rPr>
          <w:rFonts w:hint="default" w:ascii="楷体_GB2312" w:hAnsi="楷体_GB2312" w:eastAsia="楷体_GB2312" w:cs="楷体_GB2312"/>
          <w:b/>
          <w:color w:val="auto"/>
          <w:kern w:val="2"/>
          <w:sz w:val="32"/>
          <w:szCs w:val="24"/>
          <w:highlight w:val="none"/>
          <w:lang w:val="en-US" w:eastAsia="zh-CN" w:bidi="ar-SA"/>
        </w:rPr>
        <w:t>青年</w:t>
      </w:r>
      <w:r>
        <w:rPr>
          <w:rFonts w:hint="eastAsia" w:ascii="楷体_GB2312" w:hAnsi="楷体_GB2312" w:eastAsia="楷体_GB2312" w:cs="楷体_GB2312"/>
          <w:b/>
          <w:color w:val="auto"/>
          <w:kern w:val="2"/>
          <w:sz w:val="32"/>
          <w:szCs w:val="24"/>
          <w:highlight w:val="none"/>
          <w:lang w:val="en-US" w:eastAsia="zh-CN" w:bidi="ar-SA"/>
        </w:rPr>
        <w:t>人才培养扶持</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0" w:leftChars="0" w:firstLine="640" w:firstLineChars="200"/>
        <w:textAlignment w:val="auto"/>
        <w:rPr>
          <w:rFonts w:hint="eastAsia" w:ascii="仿宋_GB2312" w:hAnsi="仿宋_GB2312" w:eastAsia="仿宋_GB2312" w:cs="仿宋_GB2312"/>
          <w:kern w:val="0"/>
          <w:sz w:val="32"/>
          <w:szCs w:val="32"/>
          <w:highlight w:val="none"/>
          <w:u w:val="none"/>
          <w:lang w:val="en-US" w:eastAsia="zh-CN" w:bidi="ar-SA"/>
        </w:rPr>
      </w:pPr>
      <w:r>
        <w:rPr>
          <w:rFonts w:hint="eastAsia" w:ascii="仿宋_GB2312" w:hAnsi="仿宋_GB2312" w:eastAsia="仿宋_GB2312" w:cs="仿宋_GB2312"/>
          <w:sz w:val="32"/>
          <w:szCs w:val="32"/>
          <w:highlight w:val="none"/>
        </w:rPr>
        <w:t>依托区内企事业单位和社会组织建立一批人才实训基地，支持高校在校学生进行实习训练，</w:t>
      </w:r>
      <w:r>
        <w:rPr>
          <w:rFonts w:hint="eastAsia" w:ascii="仿宋_GB2312" w:hAnsi="仿宋_GB2312" w:eastAsia="仿宋_GB2312" w:cs="仿宋_GB2312"/>
          <w:sz w:val="32"/>
          <w:szCs w:val="32"/>
          <w:highlight w:val="none"/>
          <w:lang w:eastAsia="zh-CN"/>
        </w:rPr>
        <w:t>对符合条件的实训学生及实训基地，</w:t>
      </w:r>
      <w:r>
        <w:rPr>
          <w:rFonts w:hint="eastAsia" w:ascii="仿宋_GB2312" w:hAnsi="仿宋_GB2312" w:eastAsia="仿宋_GB2312" w:cs="仿宋_GB2312"/>
          <w:sz w:val="32"/>
          <w:szCs w:val="32"/>
          <w:highlight w:val="none"/>
          <w:lang w:val="en-US" w:eastAsia="zh-CN"/>
        </w:rPr>
        <w:t>给予以下资助：</w:t>
      </w:r>
    </w:p>
    <w:p>
      <w:pPr>
        <w:pStyle w:val="12"/>
        <w:keepNext w:val="0"/>
        <w:keepLines w:val="0"/>
        <w:pageBreakBefore w:val="0"/>
        <w:widowControl w:val="0"/>
        <w:numPr>
          <w:ilvl w:val="0"/>
          <w:numId w:val="2"/>
        </w:numPr>
        <w:kinsoku/>
        <w:wordWrap/>
        <w:overflowPunct/>
        <w:topLinePunct w:val="0"/>
        <w:autoSpaceDE/>
        <w:autoSpaceDN/>
        <w:bidi w:val="0"/>
        <w:adjustRightInd/>
        <w:snapToGrid/>
        <w:spacing w:beforeAutospacing="0" w:after="0" w:afterAutospacing="0" w:line="560" w:lineRule="exact"/>
        <w:ind w:left="0" w:leftChars="0" w:firstLine="64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实习补贴支持。</w:t>
      </w:r>
      <w:r>
        <w:rPr>
          <w:rFonts w:hint="eastAsia" w:ascii="仿宋_GB2312" w:hAnsi="仿宋_GB2312" w:eastAsia="仿宋_GB2312" w:cs="仿宋_GB2312"/>
          <w:sz w:val="32"/>
          <w:szCs w:val="32"/>
          <w:highlight w:val="none"/>
        </w:rPr>
        <w:t>按实训学生的</w:t>
      </w:r>
      <w:r>
        <w:rPr>
          <w:rFonts w:hint="eastAsia" w:ascii="仿宋_GB2312" w:hAnsi="仿宋_GB2312" w:eastAsia="仿宋_GB2312" w:cs="仿宋_GB2312"/>
          <w:sz w:val="32"/>
          <w:szCs w:val="32"/>
          <w:highlight w:val="none"/>
          <w:lang w:val="en-US" w:eastAsia="zh-CN"/>
        </w:rPr>
        <w:t>学历</w:t>
      </w:r>
      <w:r>
        <w:rPr>
          <w:rFonts w:hint="eastAsia" w:ascii="仿宋_GB2312" w:hAnsi="仿宋_GB2312" w:eastAsia="仿宋_GB2312" w:cs="仿宋_GB2312"/>
          <w:sz w:val="32"/>
          <w:szCs w:val="32"/>
          <w:highlight w:val="none"/>
        </w:rPr>
        <w:t>层次和实训期限对实训基地给予经费资助，资助标准为</w:t>
      </w:r>
      <w:r>
        <w:rPr>
          <w:rFonts w:hint="eastAsia" w:ascii="仿宋_GB2312" w:hAnsi="仿宋_GB2312" w:eastAsia="仿宋_GB2312" w:cs="仿宋_GB2312"/>
          <w:sz w:val="32"/>
          <w:szCs w:val="32"/>
          <w:highlight w:val="none"/>
          <w:lang w:eastAsia="zh-CN"/>
        </w:rPr>
        <w:t>：大专生每人每月</w:t>
      </w:r>
      <w:r>
        <w:rPr>
          <w:rFonts w:hint="eastAsia" w:ascii="仿宋_GB2312" w:hAnsi="仿宋_GB2312" w:eastAsia="仿宋_GB2312" w:cs="仿宋_GB2312"/>
          <w:sz w:val="32"/>
          <w:szCs w:val="32"/>
          <w:highlight w:val="none"/>
          <w:lang w:val="en-US" w:eastAsia="zh-CN"/>
        </w:rPr>
        <w:t>1000元、</w:t>
      </w:r>
      <w:r>
        <w:rPr>
          <w:rFonts w:hint="eastAsia" w:ascii="仿宋_GB2312" w:hAnsi="仿宋_GB2312" w:eastAsia="仿宋_GB2312" w:cs="仿宋_GB2312"/>
          <w:sz w:val="32"/>
          <w:szCs w:val="32"/>
          <w:highlight w:val="none"/>
        </w:rPr>
        <w:t>本科生每人每月2000元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硕士研究生每人每月3000元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博士研究生每人每月5000元，每人最长资助期限为12个月</w:t>
      </w:r>
      <w:r>
        <w:rPr>
          <w:rFonts w:hint="eastAsia" w:ascii="仿宋_GB2312" w:hAnsi="仿宋_GB2312" w:eastAsia="仿宋_GB2312" w:cs="仿宋_GB2312"/>
          <w:sz w:val="32"/>
          <w:szCs w:val="32"/>
          <w:highlight w:val="none"/>
          <w:lang w:eastAsia="zh-CN"/>
        </w:rPr>
        <w:t>。</w:t>
      </w:r>
    </w:p>
    <w:p>
      <w:pPr>
        <w:pStyle w:val="12"/>
        <w:keepNext w:val="0"/>
        <w:keepLines w:val="0"/>
        <w:pageBreakBefore w:val="0"/>
        <w:widowControl w:val="0"/>
        <w:numPr>
          <w:ilvl w:val="0"/>
          <w:numId w:val="2"/>
        </w:numPr>
        <w:kinsoku/>
        <w:wordWrap/>
        <w:overflowPunct/>
        <w:topLinePunct w:val="0"/>
        <w:autoSpaceDE/>
        <w:autoSpaceDN/>
        <w:bidi w:val="0"/>
        <w:adjustRightInd/>
        <w:snapToGrid/>
        <w:spacing w:beforeAutospacing="0" w:after="0" w:afterAutospacing="0" w:line="560" w:lineRule="exact"/>
        <w:ind w:left="0" w:leftChars="0" w:firstLine="64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人才落户支持。对实习结束后获得</w:t>
      </w:r>
      <w:r>
        <w:rPr>
          <w:rFonts w:hint="eastAsia" w:ascii="仿宋_GB2312" w:hAnsi="仿宋_GB2312" w:eastAsia="仿宋_GB2312" w:cs="仿宋_GB2312"/>
          <w:sz w:val="32"/>
          <w:szCs w:val="32"/>
          <w:highlight w:val="none"/>
          <w:lang w:eastAsia="zh-CN"/>
        </w:rPr>
        <w:t>实训基地</w:t>
      </w:r>
      <w:r>
        <w:rPr>
          <w:rFonts w:hint="eastAsia" w:ascii="仿宋_GB2312" w:hAnsi="仿宋_GB2312" w:eastAsia="仿宋_GB2312" w:cs="仿宋_GB2312"/>
          <w:sz w:val="32"/>
          <w:szCs w:val="32"/>
          <w:highlight w:val="none"/>
          <w:lang w:val="en-US" w:eastAsia="zh-CN"/>
        </w:rPr>
        <w:t>录用的实训人才，</w:t>
      </w:r>
      <w:r>
        <w:rPr>
          <w:rFonts w:hint="eastAsia" w:ascii="仿宋_GB2312" w:hAnsi="仿宋_GB2312" w:eastAsia="仿宋_GB2312" w:cs="仿宋_GB2312"/>
          <w:sz w:val="32"/>
          <w:szCs w:val="32"/>
          <w:highlight w:val="none"/>
          <w:lang w:eastAsia="zh-CN"/>
        </w:rPr>
        <w:t>在该</w:t>
      </w:r>
      <w:r>
        <w:rPr>
          <w:rFonts w:hint="eastAsia" w:ascii="仿宋_GB2312" w:hAnsi="仿宋_GB2312" w:eastAsia="仿宋_GB2312" w:cs="仿宋_GB2312"/>
          <w:sz w:val="32"/>
          <w:szCs w:val="32"/>
          <w:highlight w:val="none"/>
          <w:lang w:val="en-US" w:eastAsia="zh-CN"/>
        </w:rPr>
        <w:t>企业</w:t>
      </w:r>
      <w:r>
        <w:rPr>
          <w:rFonts w:hint="eastAsia" w:ascii="仿宋_GB2312" w:hAnsi="仿宋_GB2312" w:eastAsia="仿宋_GB2312" w:cs="仿宋_GB2312"/>
          <w:sz w:val="32"/>
          <w:szCs w:val="32"/>
          <w:highlight w:val="none"/>
          <w:lang w:eastAsia="zh-CN"/>
        </w:rPr>
        <w:t>连续工作满一年</w:t>
      </w:r>
      <w:r>
        <w:rPr>
          <w:rFonts w:hint="eastAsia" w:ascii="仿宋_GB2312" w:hAnsi="仿宋_GB2312" w:eastAsia="仿宋_GB2312" w:cs="仿宋_GB2312"/>
          <w:sz w:val="32"/>
          <w:szCs w:val="32"/>
          <w:highlight w:val="none"/>
          <w:lang w:val="en-US" w:eastAsia="zh-CN"/>
        </w:rPr>
        <w:t>且</w:t>
      </w:r>
      <w:r>
        <w:rPr>
          <w:rFonts w:hint="eastAsia" w:ascii="仿宋_GB2312" w:hAnsi="仿宋_GB2312" w:eastAsia="仿宋_GB2312" w:cs="仿宋_GB2312"/>
          <w:sz w:val="32"/>
          <w:szCs w:val="32"/>
          <w:highlight w:val="none"/>
          <w:lang w:eastAsia="zh-CN"/>
        </w:rPr>
        <w:t>办理引进入户</w:t>
      </w:r>
      <w:r>
        <w:rPr>
          <w:rFonts w:hint="eastAsia" w:ascii="仿宋_GB2312" w:hAnsi="仿宋_GB2312" w:eastAsia="仿宋_GB2312" w:cs="仿宋_GB2312"/>
          <w:sz w:val="32"/>
          <w:szCs w:val="32"/>
          <w:highlight w:val="none"/>
          <w:lang w:val="en-US" w:eastAsia="zh-CN"/>
        </w:rPr>
        <w:t>的，</w:t>
      </w:r>
      <w:r>
        <w:rPr>
          <w:rFonts w:hint="eastAsia" w:ascii="仿宋_GB2312" w:hAnsi="仿宋_GB2312" w:eastAsia="仿宋_GB2312" w:cs="仿宋_GB2312"/>
          <w:sz w:val="32"/>
          <w:szCs w:val="32"/>
          <w:highlight w:val="none"/>
          <w:lang w:eastAsia="zh-CN"/>
        </w:rPr>
        <w:t>按</w:t>
      </w:r>
      <w:r>
        <w:rPr>
          <w:rFonts w:hint="eastAsia" w:ascii="仿宋_GB2312" w:hAnsi="仿宋_GB2312" w:eastAsia="仿宋_GB2312" w:cs="仿宋_GB2312"/>
          <w:sz w:val="32"/>
          <w:szCs w:val="32"/>
          <w:highlight w:val="none"/>
          <w:lang w:val="en-US" w:eastAsia="zh-CN"/>
        </w:rPr>
        <w:t>其学历</w:t>
      </w:r>
      <w:r>
        <w:rPr>
          <w:rFonts w:hint="eastAsia" w:ascii="仿宋_GB2312" w:hAnsi="仿宋_GB2312" w:eastAsia="仿宋_GB2312" w:cs="仿宋_GB2312"/>
          <w:sz w:val="32"/>
          <w:szCs w:val="32"/>
          <w:highlight w:val="none"/>
          <w:lang w:eastAsia="zh-CN"/>
        </w:rPr>
        <w:t>层次给予一次性生活补贴，补贴标准为：本科生</w:t>
      </w:r>
      <w:r>
        <w:rPr>
          <w:rFonts w:hint="eastAsia" w:ascii="仿宋_GB2312" w:hAnsi="仿宋_GB2312" w:eastAsia="仿宋_GB2312" w:cs="仿宋_GB2312"/>
          <w:sz w:val="32"/>
          <w:szCs w:val="32"/>
          <w:highlight w:val="none"/>
          <w:lang w:val="en-US" w:eastAsia="zh-CN"/>
        </w:rPr>
        <w:t>2万元、硕士研究生3万元、博士研究生10万元。</w:t>
      </w:r>
      <w:r>
        <w:rPr>
          <w:rFonts w:hint="eastAsia" w:ascii="仿宋_GB2312" w:hAnsi="仿宋_GB2312" w:eastAsia="仿宋_GB2312" w:cs="仿宋_GB2312"/>
          <w:sz w:val="32"/>
          <w:szCs w:val="32"/>
          <w:highlight w:val="none"/>
          <w:lang w:eastAsia="zh-CN"/>
        </w:rPr>
        <w:t>此补贴获得者不得</w:t>
      </w:r>
      <w:r>
        <w:rPr>
          <w:rFonts w:hint="eastAsia" w:ascii="仿宋_GB2312" w:hAnsi="仿宋_GB2312" w:eastAsia="仿宋_GB2312" w:cs="仿宋_GB2312"/>
          <w:sz w:val="32"/>
          <w:szCs w:val="32"/>
          <w:highlight w:val="none"/>
          <w:lang w:val="en-US" w:eastAsia="zh-CN"/>
        </w:rPr>
        <w:t>同时享受市区级新引进人才落户同类补贴政策。</w:t>
      </w:r>
    </w:p>
    <w:p>
      <w:pPr>
        <w:pStyle w:val="12"/>
        <w:keepNext w:val="0"/>
        <w:keepLines w:val="0"/>
        <w:pageBreakBefore w:val="0"/>
        <w:widowControl w:val="0"/>
        <w:numPr>
          <w:ilvl w:val="0"/>
          <w:numId w:val="2"/>
        </w:numPr>
        <w:kinsoku/>
        <w:wordWrap/>
        <w:overflowPunct/>
        <w:topLinePunct w:val="0"/>
        <w:autoSpaceDE/>
        <w:autoSpaceDN/>
        <w:bidi w:val="0"/>
        <w:adjustRightInd/>
        <w:snapToGrid/>
        <w:spacing w:beforeAutospacing="0" w:after="0" w:afterAutospacing="0" w:line="560" w:lineRule="exact"/>
        <w:ind w:left="0" w:leftChars="0" w:firstLine="64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实训基地奖励。</w:t>
      </w:r>
      <w:r>
        <w:rPr>
          <w:rFonts w:hint="eastAsia" w:ascii="仿宋_GB2312" w:hAnsi="仿宋_GB2312" w:eastAsia="仿宋_GB2312" w:cs="仿宋_GB2312"/>
          <w:sz w:val="32"/>
          <w:szCs w:val="32"/>
          <w:highlight w:val="none"/>
        </w:rPr>
        <w:t>根据实训学生数量和留用比例等情况，</w:t>
      </w:r>
      <w:r>
        <w:rPr>
          <w:rFonts w:hint="eastAsia" w:ascii="仿宋_GB2312" w:hAnsi="仿宋_GB2312" w:eastAsia="仿宋_GB2312" w:cs="仿宋_GB2312"/>
          <w:sz w:val="32"/>
          <w:szCs w:val="32"/>
          <w:highlight w:val="none"/>
          <w:lang w:val="en-US" w:eastAsia="zh-CN"/>
        </w:rPr>
        <w:t>每年定期组织优秀实训基地评选，</w:t>
      </w:r>
      <w:r>
        <w:rPr>
          <w:rFonts w:hint="eastAsia" w:ascii="仿宋_GB2312" w:hAnsi="仿宋_GB2312" w:eastAsia="仿宋_GB2312" w:cs="仿宋_GB2312"/>
          <w:sz w:val="32"/>
          <w:szCs w:val="32"/>
          <w:highlight w:val="none"/>
        </w:rPr>
        <w:t>对</w:t>
      </w:r>
      <w:r>
        <w:rPr>
          <w:rFonts w:hint="eastAsia" w:ascii="仿宋_GB2312" w:hAnsi="仿宋_GB2312" w:eastAsia="仿宋_GB2312" w:cs="仿宋_GB2312"/>
          <w:sz w:val="32"/>
          <w:szCs w:val="32"/>
          <w:highlight w:val="none"/>
          <w:lang w:val="en-US" w:eastAsia="zh-CN"/>
        </w:rPr>
        <w:t>获评为</w:t>
      </w:r>
      <w:r>
        <w:rPr>
          <w:rFonts w:hint="eastAsia" w:ascii="仿宋_GB2312" w:hAnsi="仿宋_GB2312" w:eastAsia="仿宋_GB2312" w:cs="仿宋_GB2312"/>
          <w:sz w:val="32"/>
          <w:szCs w:val="32"/>
          <w:highlight w:val="none"/>
        </w:rPr>
        <w:t>优秀实训基地</w:t>
      </w:r>
      <w:r>
        <w:rPr>
          <w:rFonts w:hint="eastAsia" w:ascii="仿宋_GB2312" w:hAnsi="仿宋_GB2312" w:eastAsia="仿宋_GB2312" w:cs="仿宋_GB2312"/>
          <w:sz w:val="32"/>
          <w:szCs w:val="32"/>
          <w:highlight w:val="none"/>
          <w:lang w:val="en-US" w:eastAsia="zh-CN"/>
        </w:rPr>
        <w:t>的企业</w:t>
      </w:r>
      <w:r>
        <w:rPr>
          <w:rFonts w:hint="eastAsia" w:ascii="仿宋_GB2312" w:hAnsi="仿宋_GB2312" w:eastAsia="仿宋_GB2312" w:cs="仿宋_GB2312"/>
          <w:sz w:val="32"/>
          <w:szCs w:val="32"/>
          <w:highlight w:val="none"/>
        </w:rPr>
        <w:t>给予年度最高10万元的奖励，每年奖励不超过5家。</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0" w:leftChars="0" w:firstLine="643" w:firstLineChars="200"/>
        <w:textAlignment w:val="auto"/>
        <w:rPr>
          <w:rFonts w:hint="default" w:ascii="楷体_GB2312" w:hAnsi="楷体_GB2312" w:eastAsia="楷体_GB2312" w:cs="楷体_GB2312"/>
          <w:b/>
          <w:color w:val="auto"/>
          <w:kern w:val="2"/>
          <w:sz w:val="32"/>
          <w:szCs w:val="24"/>
          <w:highlight w:val="none"/>
          <w:lang w:val="en-US" w:eastAsia="zh-CN" w:bidi="ar-SA"/>
        </w:rPr>
      </w:pPr>
      <w:r>
        <w:rPr>
          <w:rFonts w:hint="eastAsia" w:ascii="楷体_GB2312" w:hAnsi="楷体_GB2312" w:eastAsia="楷体_GB2312" w:cs="楷体_GB2312"/>
          <w:b/>
          <w:color w:val="auto"/>
          <w:kern w:val="2"/>
          <w:sz w:val="32"/>
          <w:szCs w:val="24"/>
          <w:highlight w:val="none"/>
          <w:lang w:val="en-US" w:eastAsia="zh-CN" w:bidi="ar-SA"/>
        </w:rPr>
        <w:t>第</w:t>
      </w:r>
      <w:r>
        <w:rPr>
          <w:rFonts w:hint="default" w:ascii="楷体_GB2312" w:hAnsi="楷体_GB2312" w:eastAsia="楷体_GB2312" w:cs="楷体_GB2312"/>
          <w:b/>
          <w:color w:val="auto"/>
          <w:kern w:val="2"/>
          <w:sz w:val="32"/>
          <w:szCs w:val="24"/>
          <w:highlight w:val="none"/>
          <w:lang w:val="en-US" w:eastAsia="zh-CN" w:bidi="ar-SA"/>
        </w:rPr>
        <w:t>十</w:t>
      </w:r>
      <w:r>
        <w:rPr>
          <w:rFonts w:hint="eastAsia" w:ascii="楷体_GB2312" w:hAnsi="楷体_GB2312" w:eastAsia="楷体_GB2312" w:cs="楷体_GB2312"/>
          <w:b/>
          <w:color w:val="auto"/>
          <w:kern w:val="2"/>
          <w:sz w:val="32"/>
          <w:szCs w:val="24"/>
          <w:highlight w:val="none"/>
          <w:lang w:val="en-US" w:eastAsia="zh-CN" w:bidi="ar-SA"/>
        </w:rPr>
        <w:t xml:space="preserve">条  </w:t>
      </w:r>
      <w:r>
        <w:rPr>
          <w:rFonts w:hint="default" w:ascii="楷体_GB2312" w:hAnsi="楷体_GB2312" w:eastAsia="楷体_GB2312" w:cs="楷体_GB2312"/>
          <w:b/>
          <w:color w:val="auto"/>
          <w:kern w:val="2"/>
          <w:sz w:val="32"/>
          <w:szCs w:val="24"/>
          <w:highlight w:val="none"/>
          <w:lang w:val="en-US" w:eastAsia="zh-CN" w:bidi="ar-SA"/>
        </w:rPr>
        <w:t>技能人才培养载体建设扶持</w:t>
      </w:r>
    </w:p>
    <w:p>
      <w:pPr>
        <w:keepNext w:val="0"/>
        <w:keepLines w:val="0"/>
        <w:pageBreakBefore w:val="0"/>
        <w:widowControl w:val="0"/>
        <w:numPr>
          <w:ilvl w:val="0"/>
          <w:numId w:val="0"/>
        </w:numPr>
        <w:kinsoku/>
        <w:wordWrap/>
        <w:overflowPunct/>
        <w:topLinePunct w:val="0"/>
        <w:autoSpaceDE/>
        <w:autoSpaceDN w:val="0"/>
        <w:bidi w:val="0"/>
        <w:adjustRightInd/>
        <w:snapToGrid/>
        <w:spacing w:beforeAutospacing="0" w:afterAutospacing="0" w:line="560" w:lineRule="exact"/>
        <w:ind w:left="0" w:leftChars="0" w:firstLine="640" w:firstLineChars="200"/>
        <w:jc w:val="both"/>
        <w:textAlignment w:val="auto"/>
        <w:rPr>
          <w:rFonts w:hint="eastAsia" w:ascii="仿宋_GB2312" w:hAnsi="仿宋" w:eastAsia="仿宋_GB2312"/>
          <w:sz w:val="32"/>
          <w:szCs w:val="32"/>
          <w:highlight w:val="none"/>
        </w:rPr>
      </w:pPr>
      <w:r>
        <w:rPr>
          <w:rFonts w:hint="default" w:ascii="仿宋_GB2312" w:hAnsi="仿宋_GB2312" w:eastAsia="仿宋_GB2312" w:cs="仿宋_GB2312"/>
          <w:b w:val="0"/>
          <w:bCs w:val="0"/>
          <w:kern w:val="2"/>
          <w:sz w:val="32"/>
          <w:szCs w:val="32"/>
          <w:lang w:eastAsia="zh-CN" w:bidi="ar-SA"/>
        </w:rPr>
        <w:t>（一）</w:t>
      </w:r>
      <w:r>
        <w:rPr>
          <w:rFonts w:hint="eastAsia" w:ascii="仿宋_GB2312" w:hAnsi="仿宋_GB2312" w:eastAsia="仿宋_GB2312" w:cs="仿宋_GB2312"/>
          <w:b w:val="0"/>
          <w:bCs w:val="0"/>
          <w:kern w:val="2"/>
          <w:sz w:val="32"/>
          <w:szCs w:val="32"/>
          <w:lang w:val="en-US" w:eastAsia="zh-CN" w:bidi="ar-SA"/>
        </w:rPr>
        <w:t>终身职业技能培训载体建设</w:t>
      </w:r>
      <w:r>
        <w:rPr>
          <w:rFonts w:hint="default" w:ascii="仿宋_GB2312" w:hAnsi="仿宋_GB2312" w:eastAsia="仿宋_GB2312" w:cs="仿宋_GB2312"/>
          <w:b w:val="0"/>
          <w:bCs w:val="0"/>
          <w:kern w:val="2"/>
          <w:sz w:val="32"/>
          <w:szCs w:val="32"/>
          <w:lang w:eastAsia="zh-CN" w:bidi="ar-SA"/>
        </w:rPr>
        <w:t>扶持</w:t>
      </w:r>
      <w:r>
        <w:rPr>
          <w:rFonts w:hint="eastAsia" w:ascii="仿宋_GB2312" w:hAnsi="仿宋_GB2312" w:eastAsia="仿宋_GB2312" w:cs="仿宋_GB2312"/>
          <w:b w:val="0"/>
          <w:bCs w:val="0"/>
          <w:kern w:val="2"/>
          <w:sz w:val="32"/>
          <w:szCs w:val="32"/>
          <w:lang w:val="en-US" w:eastAsia="zh-CN" w:bidi="ar-SA"/>
        </w:rPr>
        <w:t>。</w:t>
      </w:r>
      <w:r>
        <w:rPr>
          <w:rFonts w:hint="eastAsia" w:ascii="仿宋_GB2312" w:hAnsi="仿宋_GB2312" w:eastAsia="仿宋_GB2312" w:cs="仿宋_GB2312"/>
          <w:b w:val="0"/>
          <w:bCs w:val="0"/>
          <w:kern w:val="0"/>
          <w:sz w:val="32"/>
          <w:szCs w:val="32"/>
          <w:highlight w:val="none"/>
          <w:lang w:val="en-US" w:eastAsia="zh-CN"/>
        </w:rPr>
        <w:t>对经市级部门备案</w:t>
      </w:r>
      <w:r>
        <w:rPr>
          <w:rFonts w:hint="default" w:ascii="仿宋_GB2312" w:hAnsi="仿宋_GB2312" w:eastAsia="仿宋_GB2312" w:cs="仿宋_GB2312"/>
          <w:b w:val="0"/>
          <w:bCs w:val="0"/>
          <w:kern w:val="0"/>
          <w:sz w:val="32"/>
          <w:szCs w:val="32"/>
          <w:highlight w:val="none"/>
          <w:lang w:eastAsia="zh-CN"/>
        </w:rPr>
        <w:t>新</w:t>
      </w:r>
      <w:r>
        <w:rPr>
          <w:rFonts w:hint="eastAsia" w:ascii="仿宋_GB2312" w:hAnsi="仿宋_GB2312" w:eastAsia="仿宋_GB2312" w:cs="仿宋_GB2312"/>
          <w:b w:val="0"/>
          <w:bCs w:val="0"/>
          <w:kern w:val="0"/>
          <w:sz w:val="32"/>
          <w:szCs w:val="32"/>
          <w:highlight w:val="none"/>
          <w:lang w:val="en-US" w:eastAsia="zh-CN"/>
        </w:rPr>
        <w:t>设立的高技能人才培训基地、技能大师工作室、乡村技能振兴工作站等载体，给予</w:t>
      </w:r>
      <w:r>
        <w:rPr>
          <w:rFonts w:hint="default" w:ascii="仿宋_GB2312" w:hAnsi="仿宋_GB2312" w:eastAsia="仿宋_GB2312" w:cs="仿宋_GB2312"/>
          <w:b w:val="0"/>
          <w:bCs w:val="0"/>
          <w:kern w:val="0"/>
          <w:sz w:val="32"/>
          <w:szCs w:val="32"/>
          <w:highlight w:val="none"/>
          <w:lang w:eastAsia="zh-CN"/>
        </w:rPr>
        <w:t>一次性20万元奖励</w:t>
      </w:r>
      <w:r>
        <w:rPr>
          <w:rFonts w:hint="eastAsia" w:ascii="仿宋_GB2312" w:hAnsi="仿宋_GB2312" w:eastAsia="仿宋_GB2312" w:cs="仿宋_GB2312"/>
          <w:b w:val="0"/>
          <w:bCs w:val="0"/>
          <w:kern w:val="0"/>
          <w:sz w:val="32"/>
          <w:szCs w:val="32"/>
          <w:highlight w:val="none"/>
          <w:lang w:val="en-US" w:eastAsia="zh-CN"/>
        </w:rPr>
        <w:t>。对获得市级择优资助项目的载体，按项目类别给予每个</w:t>
      </w:r>
      <w:r>
        <w:rPr>
          <w:rFonts w:hint="default" w:ascii="仿宋_GB2312" w:hAnsi="仿宋_GB2312" w:eastAsia="仿宋_GB2312" w:cs="仿宋_GB2312"/>
          <w:b w:val="0"/>
          <w:bCs w:val="0"/>
          <w:kern w:val="0"/>
          <w:sz w:val="32"/>
          <w:szCs w:val="32"/>
          <w:highlight w:val="none"/>
          <w:lang w:eastAsia="zh-CN"/>
        </w:rPr>
        <w:t>项目10</w:t>
      </w:r>
      <w:r>
        <w:rPr>
          <w:rFonts w:hint="eastAsia" w:ascii="仿宋_GB2312" w:hAnsi="仿宋_GB2312" w:eastAsia="仿宋_GB2312" w:cs="仿宋_GB2312"/>
          <w:b w:val="0"/>
          <w:bCs w:val="0"/>
          <w:kern w:val="0"/>
          <w:sz w:val="32"/>
          <w:szCs w:val="32"/>
          <w:highlight w:val="none"/>
          <w:lang w:val="en-US" w:eastAsia="zh-CN"/>
        </w:rPr>
        <w:t>万元</w:t>
      </w:r>
      <w:r>
        <w:rPr>
          <w:rFonts w:hint="default" w:ascii="仿宋_GB2312" w:hAnsi="仿宋_GB2312" w:eastAsia="仿宋_GB2312" w:cs="仿宋_GB2312"/>
          <w:b w:val="0"/>
          <w:bCs w:val="0"/>
          <w:kern w:val="0"/>
          <w:sz w:val="32"/>
          <w:szCs w:val="32"/>
          <w:highlight w:val="none"/>
          <w:lang w:eastAsia="zh-CN"/>
        </w:rPr>
        <w:t>的工作经费支持</w:t>
      </w:r>
      <w:r>
        <w:rPr>
          <w:rFonts w:hint="eastAsia" w:ascii="仿宋_GB2312" w:hAnsi="仿宋" w:eastAsia="仿宋_GB2312"/>
          <w:sz w:val="32"/>
          <w:szCs w:val="32"/>
          <w:highlight w:val="none"/>
        </w:rPr>
        <w:t>。</w:t>
      </w:r>
    </w:p>
    <w:p>
      <w:pPr>
        <w:keepNext w:val="0"/>
        <w:keepLines w:val="0"/>
        <w:pageBreakBefore w:val="0"/>
        <w:widowControl w:val="0"/>
        <w:numPr>
          <w:ilvl w:val="0"/>
          <w:numId w:val="0"/>
        </w:numPr>
        <w:kinsoku/>
        <w:wordWrap/>
        <w:overflowPunct/>
        <w:topLinePunct w:val="0"/>
        <w:autoSpaceDE/>
        <w:autoSpaceDN w:val="0"/>
        <w:bidi w:val="0"/>
        <w:adjustRightInd/>
        <w:snapToGrid/>
        <w:spacing w:beforeAutospacing="0" w:afterAutospacing="0" w:line="560" w:lineRule="exact"/>
        <w:ind w:left="0" w:leftChars="0" w:firstLine="640" w:firstLineChars="200"/>
        <w:jc w:val="both"/>
        <w:textAlignment w:val="auto"/>
        <w:rPr>
          <w:rFonts w:hint="eastAsia" w:ascii="仿宋_GB2312" w:hAnsi="仿宋_GB2312" w:eastAsia="仿宋_GB2312" w:cs="仿宋_GB2312"/>
          <w:b w:val="0"/>
          <w:bCs w:val="0"/>
          <w:kern w:val="0"/>
          <w:sz w:val="32"/>
          <w:szCs w:val="32"/>
          <w:highlight w:val="none"/>
          <w:lang w:val="en-US" w:eastAsia="zh-CN"/>
        </w:rPr>
      </w:pPr>
      <w:r>
        <w:rPr>
          <w:rFonts w:hint="default" w:ascii="仿宋_GB2312" w:hAnsi="仿宋_GB2312" w:eastAsia="仿宋_GB2312" w:cs="仿宋_GB2312"/>
          <w:b w:val="0"/>
          <w:bCs/>
          <w:kern w:val="2"/>
          <w:sz w:val="32"/>
          <w:szCs w:val="32"/>
          <w:lang w:eastAsia="zh-CN" w:bidi="ar-SA"/>
        </w:rPr>
        <w:t>（二）</w:t>
      </w:r>
      <w:r>
        <w:rPr>
          <w:rFonts w:hint="eastAsia" w:ascii="仿宋_GB2312" w:hAnsi="仿宋_GB2312" w:eastAsia="仿宋_GB2312" w:cs="仿宋_GB2312"/>
          <w:b w:val="0"/>
          <w:bCs/>
          <w:kern w:val="2"/>
          <w:sz w:val="32"/>
          <w:szCs w:val="32"/>
          <w:lang w:val="en-US" w:eastAsia="zh-CN" w:bidi="ar-SA"/>
        </w:rPr>
        <w:t>技能人才自主评价</w:t>
      </w:r>
      <w:r>
        <w:rPr>
          <w:rFonts w:hint="default" w:ascii="仿宋_GB2312" w:hAnsi="仿宋_GB2312" w:eastAsia="仿宋_GB2312" w:cs="仿宋_GB2312"/>
          <w:b w:val="0"/>
          <w:bCs/>
          <w:kern w:val="2"/>
          <w:sz w:val="32"/>
          <w:szCs w:val="32"/>
          <w:lang w:eastAsia="zh-CN" w:bidi="ar-SA"/>
        </w:rPr>
        <w:t>创新</w:t>
      </w:r>
      <w:r>
        <w:rPr>
          <w:rFonts w:hint="eastAsia" w:ascii="仿宋_GB2312" w:hAnsi="仿宋_GB2312" w:eastAsia="仿宋_GB2312" w:cs="仿宋_GB2312"/>
          <w:b w:val="0"/>
          <w:bCs/>
          <w:kern w:val="2"/>
          <w:sz w:val="32"/>
          <w:szCs w:val="32"/>
          <w:lang w:val="en-US" w:eastAsia="zh-CN" w:bidi="ar-SA"/>
        </w:rPr>
        <w:t>奖励。</w:t>
      </w:r>
      <w:r>
        <w:rPr>
          <w:rFonts w:hint="eastAsia" w:ascii="仿宋_GB2312" w:hAnsi="仿宋_GB2312" w:eastAsia="仿宋_GB2312" w:cs="仿宋_GB2312"/>
          <w:b w:val="0"/>
          <w:bCs w:val="0"/>
          <w:kern w:val="0"/>
          <w:sz w:val="32"/>
          <w:szCs w:val="32"/>
          <w:highlight w:val="none"/>
          <w:lang w:val="en-US" w:eastAsia="zh-CN"/>
        </w:rPr>
        <w:t>鼓励企业开展</w:t>
      </w:r>
      <w:r>
        <w:rPr>
          <w:rFonts w:hint="default" w:ascii="仿宋_GB2312" w:hAnsi="仿宋_GB2312" w:eastAsia="仿宋_GB2312" w:cs="仿宋_GB2312"/>
          <w:b w:val="0"/>
          <w:bCs w:val="0"/>
          <w:kern w:val="0"/>
          <w:sz w:val="32"/>
          <w:szCs w:val="32"/>
          <w:highlight w:val="none"/>
          <w:lang w:eastAsia="zh-CN"/>
        </w:rPr>
        <w:t>自主评价</w:t>
      </w:r>
      <w:r>
        <w:rPr>
          <w:rFonts w:hint="eastAsia" w:ascii="仿宋_GB2312" w:hAnsi="仿宋_GB2312" w:eastAsia="仿宋_GB2312" w:cs="仿宋_GB2312"/>
          <w:b w:val="0"/>
          <w:bCs w:val="0"/>
          <w:kern w:val="0"/>
          <w:sz w:val="32"/>
          <w:szCs w:val="32"/>
          <w:highlight w:val="none"/>
          <w:lang w:val="en-US" w:eastAsia="zh-CN"/>
        </w:rPr>
        <w:t>技能人才，经各级人力资源和社会保障部门审核授予职业技能等级认定资质并开展认定工作的企业，</w:t>
      </w:r>
      <w:r>
        <w:rPr>
          <w:rFonts w:hint="default" w:ascii="仿宋_GB2312" w:hAnsi="仿宋_GB2312" w:eastAsia="仿宋_GB2312" w:cs="仿宋_GB2312"/>
          <w:b w:val="0"/>
          <w:bCs w:val="0"/>
          <w:kern w:val="0"/>
          <w:sz w:val="32"/>
          <w:szCs w:val="32"/>
          <w:highlight w:val="none"/>
          <w:lang w:eastAsia="zh-CN"/>
        </w:rPr>
        <w:t>对备案并核发证书的按每个职业工种给予</w:t>
      </w:r>
      <w:r>
        <w:rPr>
          <w:rFonts w:hint="eastAsia" w:ascii="仿宋_GB2312" w:hAnsi="仿宋_GB2312" w:eastAsia="仿宋_GB2312" w:cs="仿宋_GB2312"/>
          <w:b w:val="0"/>
          <w:bCs w:val="0"/>
          <w:kern w:val="0"/>
          <w:sz w:val="32"/>
          <w:szCs w:val="32"/>
          <w:highlight w:val="none"/>
          <w:lang w:val="en-US" w:eastAsia="zh-CN"/>
        </w:rPr>
        <w:t>10万元一次性奖励，单个企业奖励不超过20万元。</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0" w:leftChars="0" w:firstLine="643" w:firstLineChars="200"/>
        <w:textAlignment w:val="auto"/>
        <w:rPr>
          <w:rFonts w:hint="default" w:ascii="楷体_GB2312" w:hAnsi="楷体_GB2312" w:eastAsia="楷体_GB2312" w:cs="楷体_GB2312"/>
          <w:b/>
          <w:color w:val="auto"/>
          <w:kern w:val="2"/>
          <w:sz w:val="32"/>
          <w:szCs w:val="24"/>
          <w:highlight w:val="none"/>
          <w:lang w:val="en-US" w:eastAsia="zh-CN" w:bidi="ar-SA"/>
        </w:rPr>
      </w:pPr>
      <w:r>
        <w:rPr>
          <w:rFonts w:hint="eastAsia" w:ascii="楷体_GB2312" w:hAnsi="楷体_GB2312" w:eastAsia="楷体_GB2312" w:cs="楷体_GB2312"/>
          <w:b/>
          <w:color w:val="auto"/>
          <w:kern w:val="2"/>
          <w:sz w:val="32"/>
          <w:szCs w:val="24"/>
          <w:highlight w:val="none"/>
          <w:lang w:val="en-US" w:eastAsia="zh-CN" w:bidi="ar-SA"/>
        </w:rPr>
        <w:t>第</w:t>
      </w:r>
      <w:r>
        <w:rPr>
          <w:rFonts w:hint="default" w:ascii="楷体_GB2312" w:hAnsi="楷体_GB2312" w:eastAsia="楷体_GB2312" w:cs="楷体_GB2312"/>
          <w:b/>
          <w:color w:val="auto"/>
          <w:kern w:val="2"/>
          <w:sz w:val="32"/>
          <w:szCs w:val="24"/>
          <w:highlight w:val="none"/>
          <w:lang w:val="en-US" w:eastAsia="zh-CN" w:bidi="ar-SA"/>
        </w:rPr>
        <w:t>十一</w:t>
      </w:r>
      <w:r>
        <w:rPr>
          <w:rFonts w:hint="eastAsia" w:ascii="楷体_GB2312" w:hAnsi="楷体_GB2312" w:eastAsia="楷体_GB2312" w:cs="楷体_GB2312"/>
          <w:b/>
          <w:color w:val="auto"/>
          <w:kern w:val="2"/>
          <w:sz w:val="32"/>
          <w:szCs w:val="24"/>
          <w:highlight w:val="none"/>
          <w:lang w:val="en-US" w:eastAsia="zh-CN" w:bidi="ar-SA"/>
        </w:rPr>
        <w:t xml:space="preserve">条  </w:t>
      </w:r>
      <w:r>
        <w:rPr>
          <w:rFonts w:hint="default" w:ascii="楷体_GB2312" w:hAnsi="楷体_GB2312" w:eastAsia="楷体_GB2312" w:cs="楷体_GB2312"/>
          <w:b/>
          <w:color w:val="auto"/>
          <w:kern w:val="2"/>
          <w:sz w:val="32"/>
          <w:szCs w:val="24"/>
          <w:highlight w:val="none"/>
          <w:lang w:val="en-US" w:eastAsia="zh-CN" w:bidi="ar-SA"/>
        </w:rPr>
        <w:t>中高层次人才培养扶持</w:t>
      </w:r>
    </w:p>
    <w:p>
      <w:pPr>
        <w:pStyle w:val="17"/>
        <w:keepNext w:val="0"/>
        <w:keepLines w:val="0"/>
        <w:pageBreakBefore w:val="0"/>
        <w:widowControl w:val="0"/>
        <w:kinsoku/>
        <w:wordWrap/>
        <w:overflowPunct/>
        <w:topLinePunct w:val="0"/>
        <w:autoSpaceDE/>
        <w:autoSpaceDN/>
        <w:bidi w:val="0"/>
        <w:spacing w:beforeAutospacing="0" w:after="0" w:afterAutospacing="0" w:line="560" w:lineRule="exact"/>
        <w:ind w:left="0" w:leftChars="0" w:firstLine="640" w:firstLineChars="200"/>
        <w:jc w:val="both"/>
        <w:textAlignment w:val="auto"/>
        <w:rPr>
          <w:rFonts w:hint="eastAsia" w:ascii="仿宋_GB2312" w:hAnsi="宋体" w:eastAsia="仿宋_GB2312" w:cs="宋体"/>
          <w:color w:val="auto"/>
          <w:kern w:val="0"/>
          <w:sz w:val="32"/>
          <w:szCs w:val="32"/>
          <w:highlight w:val="none"/>
          <w:lang w:val="en-US" w:eastAsia="zh-CN" w:bidi="ar-SA"/>
        </w:rPr>
      </w:pPr>
      <w:r>
        <w:rPr>
          <w:rFonts w:hint="eastAsia" w:ascii="仿宋" w:hAnsi="仿宋" w:eastAsia="仿宋" w:cs="仿宋"/>
          <w:b w:val="0"/>
          <w:bCs w:val="0"/>
          <w:color w:val="auto"/>
          <w:kern w:val="2"/>
          <w:sz w:val="32"/>
          <w:szCs w:val="32"/>
          <w:highlight w:val="none"/>
          <w:lang w:val="en-US" w:eastAsia="zh-CN" w:bidi="ar-SA"/>
        </w:rPr>
        <w:t>对</w:t>
      </w:r>
      <w:r>
        <w:rPr>
          <w:rFonts w:hint="default" w:ascii="仿宋" w:hAnsi="仿宋" w:eastAsia="仿宋" w:cs="仿宋"/>
          <w:b w:val="0"/>
          <w:bCs w:val="0"/>
          <w:color w:val="auto"/>
          <w:kern w:val="2"/>
          <w:sz w:val="32"/>
          <w:szCs w:val="32"/>
          <w:highlight w:val="none"/>
          <w:lang w:eastAsia="zh-CN" w:bidi="ar-SA"/>
        </w:rPr>
        <w:t>南山区</w:t>
      </w:r>
      <w:r>
        <w:rPr>
          <w:rFonts w:hint="eastAsia" w:ascii="仿宋" w:hAnsi="仿宋" w:eastAsia="仿宋" w:cs="仿宋"/>
          <w:b w:val="0"/>
          <w:bCs w:val="0"/>
          <w:color w:val="auto"/>
          <w:kern w:val="2"/>
          <w:sz w:val="32"/>
          <w:szCs w:val="32"/>
          <w:highlight w:val="none"/>
          <w:lang w:val="en-US" w:eastAsia="zh-CN" w:bidi="ar-SA"/>
        </w:rPr>
        <w:t>重点产业企业的</w:t>
      </w:r>
      <w:r>
        <w:rPr>
          <w:rFonts w:hint="default" w:ascii="仿宋" w:hAnsi="仿宋" w:eastAsia="仿宋" w:cs="仿宋"/>
          <w:b w:val="0"/>
          <w:bCs w:val="0"/>
          <w:color w:val="auto"/>
          <w:kern w:val="2"/>
          <w:sz w:val="32"/>
          <w:szCs w:val="32"/>
          <w:highlight w:val="none"/>
          <w:lang w:eastAsia="zh-CN" w:bidi="ar-SA"/>
        </w:rPr>
        <w:t>中高层次人才</w:t>
      </w:r>
      <w:r>
        <w:rPr>
          <w:rFonts w:hint="eastAsia" w:ascii="仿宋" w:hAnsi="仿宋" w:eastAsia="仿宋" w:cs="仿宋"/>
          <w:b w:val="0"/>
          <w:bCs w:val="0"/>
          <w:color w:val="auto"/>
          <w:kern w:val="2"/>
          <w:sz w:val="32"/>
          <w:szCs w:val="32"/>
          <w:highlight w:val="none"/>
          <w:lang w:val="en-US" w:eastAsia="zh-CN" w:bidi="ar-SA"/>
        </w:rPr>
        <w:t>参加</w:t>
      </w:r>
      <w:r>
        <w:rPr>
          <w:rFonts w:hint="default" w:ascii="仿宋" w:hAnsi="仿宋" w:eastAsia="仿宋" w:cs="仿宋"/>
          <w:b w:val="0"/>
          <w:bCs w:val="0"/>
          <w:color w:val="auto"/>
          <w:kern w:val="2"/>
          <w:sz w:val="32"/>
          <w:szCs w:val="32"/>
          <w:highlight w:val="none"/>
          <w:lang w:eastAsia="zh-CN" w:bidi="ar-SA"/>
        </w:rPr>
        <w:t>区</w:t>
      </w:r>
      <w:r>
        <w:rPr>
          <w:rFonts w:hint="eastAsia" w:ascii="仿宋" w:hAnsi="仿宋" w:eastAsia="仿宋" w:cs="仿宋"/>
          <w:b w:val="0"/>
          <w:bCs w:val="0"/>
          <w:color w:val="auto"/>
          <w:kern w:val="2"/>
          <w:sz w:val="32"/>
          <w:szCs w:val="32"/>
          <w:highlight w:val="none"/>
          <w:lang w:val="en-US" w:eastAsia="zh-CN" w:bidi="ar-SA"/>
        </w:rPr>
        <w:t>政府委托或认可的由高校</w:t>
      </w:r>
      <w:r>
        <w:rPr>
          <w:rFonts w:hint="default" w:ascii="仿宋" w:hAnsi="仿宋" w:eastAsia="仿宋" w:cs="仿宋"/>
          <w:b w:val="0"/>
          <w:bCs w:val="0"/>
          <w:color w:val="auto"/>
          <w:kern w:val="2"/>
          <w:sz w:val="32"/>
          <w:szCs w:val="32"/>
          <w:highlight w:val="none"/>
          <w:lang w:eastAsia="zh-CN" w:bidi="ar-SA"/>
        </w:rPr>
        <w:t>或</w:t>
      </w:r>
      <w:r>
        <w:rPr>
          <w:rFonts w:hint="eastAsia" w:ascii="仿宋" w:hAnsi="仿宋" w:eastAsia="仿宋" w:cs="仿宋"/>
          <w:b w:val="0"/>
          <w:bCs w:val="0"/>
          <w:color w:val="auto"/>
          <w:kern w:val="2"/>
          <w:sz w:val="32"/>
          <w:szCs w:val="32"/>
          <w:highlight w:val="none"/>
          <w:lang w:val="en-US" w:eastAsia="zh-CN" w:bidi="ar-SA"/>
        </w:rPr>
        <w:t>研究院</w:t>
      </w:r>
      <w:r>
        <w:rPr>
          <w:rFonts w:hint="default" w:ascii="仿宋" w:hAnsi="仿宋" w:eastAsia="仿宋" w:cs="仿宋"/>
          <w:b w:val="0"/>
          <w:bCs w:val="0"/>
          <w:color w:val="auto"/>
          <w:kern w:val="2"/>
          <w:sz w:val="32"/>
          <w:szCs w:val="32"/>
          <w:highlight w:val="none"/>
          <w:lang w:eastAsia="zh-CN" w:bidi="ar-SA"/>
        </w:rPr>
        <w:t>举办</w:t>
      </w:r>
      <w:r>
        <w:rPr>
          <w:rFonts w:hint="eastAsia" w:ascii="仿宋" w:hAnsi="仿宋" w:eastAsia="仿宋" w:cs="仿宋"/>
          <w:b w:val="0"/>
          <w:bCs w:val="0"/>
          <w:color w:val="auto"/>
          <w:kern w:val="2"/>
          <w:sz w:val="32"/>
          <w:szCs w:val="32"/>
          <w:highlight w:val="none"/>
          <w:lang w:val="en-US" w:eastAsia="zh-CN" w:bidi="ar-SA"/>
        </w:rPr>
        <w:t>且不少于1年期的人才培养研修班，给予每人培训费用的50%、最高不超过3万元的补贴，每家企业每年限2个名额。</w:t>
      </w:r>
    </w:p>
    <w:p>
      <w:pPr>
        <w:pStyle w:val="12"/>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firstLine="640" w:firstLineChars="200"/>
        <w:textAlignment w:val="auto"/>
        <w:rPr>
          <w:rFonts w:hint="eastAsia" w:ascii="仿宋_GB2312" w:hAnsi="仿宋_GB2312" w:eastAsia="仿宋_GB2312" w:cs="仿宋_GB2312"/>
          <w:b w:val="0"/>
          <w:bCs w:val="0"/>
          <w:color w:val="FF0000"/>
          <w:kern w:val="0"/>
          <w:sz w:val="32"/>
          <w:szCs w:val="32"/>
          <w:highlight w:val="none"/>
          <w:lang w:val="en-US" w:eastAsia="zh-CN" w:bidi="ar-SA"/>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0" w:leftChars="0"/>
        <w:jc w:val="center"/>
        <w:textAlignment w:val="auto"/>
        <w:rPr>
          <w:rFonts w:hint="eastAsia" w:ascii="黑体" w:hAnsi="黑体" w:eastAsia="黑体"/>
          <w:color w:val="auto"/>
          <w:sz w:val="32"/>
          <w:szCs w:val="32"/>
          <w:lang w:val="en-US" w:eastAsia="zh-CN"/>
        </w:rPr>
      </w:pPr>
      <w:bookmarkStart w:id="0" w:name="_Toc94259831"/>
      <w:r>
        <w:rPr>
          <w:rFonts w:hint="eastAsia" w:ascii="黑体" w:hAnsi="黑体" w:eastAsia="黑体"/>
          <w:color w:val="auto"/>
          <w:sz w:val="32"/>
          <w:szCs w:val="32"/>
          <w:lang w:val="en-US" w:eastAsia="zh-CN"/>
        </w:rPr>
        <w:t xml:space="preserve">第三章  </w:t>
      </w:r>
      <w:r>
        <w:rPr>
          <w:rFonts w:hint="eastAsia" w:ascii="黑体" w:hAnsi="黑体" w:eastAsia="黑体"/>
          <w:color w:val="auto"/>
          <w:sz w:val="32"/>
          <w:szCs w:val="32"/>
        </w:rPr>
        <w:t>人才</w:t>
      </w:r>
      <w:r>
        <w:rPr>
          <w:rFonts w:hint="eastAsia" w:ascii="黑体" w:hAnsi="黑体" w:eastAsia="黑体"/>
          <w:color w:val="auto"/>
          <w:sz w:val="32"/>
          <w:szCs w:val="32"/>
          <w:lang w:val="en-US" w:eastAsia="zh-CN"/>
        </w:rPr>
        <w:t>创新与创业支持</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textAlignment w:val="auto"/>
        <w:outlineLvl w:val="1"/>
        <w:rPr>
          <w:rFonts w:hint="eastAsia" w:ascii="仿宋_GB2312" w:hAnsi="仿宋_GB2312" w:eastAsia="仿宋_GB2312" w:cs="仿宋_GB2312"/>
          <w:b/>
          <w:bCs/>
          <w:color w:val="auto"/>
          <w:kern w:val="0"/>
          <w:sz w:val="32"/>
          <w:szCs w:val="32"/>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0" w:leftChars="0" w:firstLine="643" w:firstLineChars="200"/>
        <w:textAlignment w:val="auto"/>
        <w:rPr>
          <w:rFonts w:hint="eastAsia" w:ascii="楷体_GB2312" w:hAnsi="楷体_GB2312" w:eastAsia="楷体_GB2312" w:cs="楷体_GB2312"/>
          <w:b/>
          <w:color w:val="auto"/>
          <w:kern w:val="2"/>
          <w:sz w:val="32"/>
          <w:szCs w:val="24"/>
          <w:highlight w:val="none"/>
          <w:lang w:val="en-US" w:eastAsia="zh-CN" w:bidi="ar-SA"/>
        </w:rPr>
      </w:pPr>
      <w:r>
        <w:rPr>
          <w:rFonts w:hint="eastAsia" w:ascii="楷体_GB2312" w:hAnsi="楷体_GB2312" w:eastAsia="楷体_GB2312" w:cs="楷体_GB2312"/>
          <w:b/>
          <w:color w:val="auto"/>
          <w:kern w:val="2"/>
          <w:sz w:val="32"/>
          <w:szCs w:val="24"/>
          <w:highlight w:val="none"/>
          <w:lang w:val="en-US" w:eastAsia="zh-CN" w:bidi="ar-SA"/>
        </w:rPr>
        <w:t>第</w:t>
      </w:r>
      <w:r>
        <w:rPr>
          <w:rFonts w:hint="default" w:ascii="楷体_GB2312" w:hAnsi="楷体_GB2312" w:eastAsia="楷体_GB2312" w:cs="楷体_GB2312"/>
          <w:b/>
          <w:color w:val="auto"/>
          <w:kern w:val="2"/>
          <w:sz w:val="32"/>
          <w:szCs w:val="24"/>
          <w:highlight w:val="none"/>
          <w:lang w:val="en-US" w:eastAsia="zh-CN" w:bidi="ar-SA"/>
        </w:rPr>
        <w:t>十二</w:t>
      </w:r>
      <w:r>
        <w:rPr>
          <w:rFonts w:hint="eastAsia" w:ascii="楷体_GB2312" w:hAnsi="楷体_GB2312" w:eastAsia="楷体_GB2312" w:cs="楷体_GB2312"/>
          <w:b/>
          <w:color w:val="auto"/>
          <w:kern w:val="2"/>
          <w:sz w:val="32"/>
          <w:szCs w:val="24"/>
          <w:highlight w:val="none"/>
          <w:lang w:val="en-US" w:eastAsia="zh-CN" w:bidi="ar-SA"/>
        </w:rPr>
        <w:t>条  科技人才创新创业支持计划</w:t>
      </w:r>
    </w:p>
    <w:p>
      <w:pPr>
        <w:keepNext w:val="0"/>
        <w:keepLines w:val="0"/>
        <w:pageBreakBefore w:val="0"/>
        <w:widowControl w:val="0"/>
        <w:numPr>
          <w:ilvl w:val="0"/>
          <w:numId w:val="0"/>
        </w:numPr>
        <w:kinsoku/>
        <w:wordWrap/>
        <w:overflowPunct/>
        <w:topLinePunct w:val="0"/>
        <w:autoSpaceDE/>
        <w:autoSpaceDN w:val="0"/>
        <w:bidi w:val="0"/>
        <w:adjustRightInd/>
        <w:snapToGrid/>
        <w:spacing w:beforeAutospacing="0" w:afterAutospacing="0" w:line="560" w:lineRule="exact"/>
        <w:ind w:left="0" w:leftChars="0" w:firstLine="640" w:firstLineChars="200"/>
        <w:jc w:val="both"/>
        <w:textAlignment w:val="auto"/>
        <w:rPr>
          <w:rFonts w:hint="eastAsia" w:ascii="仿宋_GB2312" w:hAnsi="仿宋_GB2312" w:eastAsia="仿宋_GB2312" w:cs="仿宋_GB2312"/>
          <w:b w:val="0"/>
          <w:bCs w:val="0"/>
          <w:kern w:val="0"/>
          <w:sz w:val="32"/>
          <w:szCs w:val="32"/>
          <w:highlight w:val="none"/>
          <w:lang w:val="en-US" w:eastAsia="zh-CN"/>
        </w:rPr>
      </w:pPr>
      <w:r>
        <w:rPr>
          <w:rFonts w:hint="eastAsia" w:ascii="仿宋_GB2312" w:hAnsi="仿宋_GB2312" w:eastAsia="仿宋_GB2312" w:cs="仿宋_GB2312"/>
          <w:b w:val="0"/>
          <w:bCs w:val="0"/>
          <w:kern w:val="0"/>
          <w:sz w:val="32"/>
          <w:szCs w:val="32"/>
          <w:highlight w:val="none"/>
          <w:lang w:val="en-US" w:eastAsia="zh-CN"/>
        </w:rPr>
        <w:t>（一）对经评价认定的顶尖人才创办的企业，符合南山区产业发展导向且经区科技主管部门评审通过的，给予最高2000万元资助。</w:t>
      </w:r>
    </w:p>
    <w:p>
      <w:pPr>
        <w:keepNext w:val="0"/>
        <w:keepLines w:val="0"/>
        <w:pageBreakBefore w:val="0"/>
        <w:widowControl w:val="0"/>
        <w:numPr>
          <w:ilvl w:val="0"/>
          <w:numId w:val="0"/>
        </w:numPr>
        <w:kinsoku/>
        <w:wordWrap/>
        <w:overflowPunct/>
        <w:topLinePunct w:val="0"/>
        <w:autoSpaceDE/>
        <w:autoSpaceDN w:val="0"/>
        <w:bidi w:val="0"/>
        <w:adjustRightInd/>
        <w:snapToGrid/>
        <w:spacing w:beforeAutospacing="0" w:afterAutospacing="0" w:line="560" w:lineRule="exact"/>
        <w:ind w:left="0" w:leftChars="0" w:firstLine="640" w:firstLineChars="200"/>
        <w:jc w:val="both"/>
        <w:textAlignment w:val="auto"/>
        <w:rPr>
          <w:rFonts w:hint="eastAsia" w:ascii="仿宋_GB2312" w:hAnsi="仿宋_GB2312" w:eastAsia="仿宋_GB2312" w:cs="仿宋_GB2312"/>
          <w:b w:val="0"/>
          <w:bCs w:val="0"/>
          <w:kern w:val="0"/>
          <w:sz w:val="32"/>
          <w:szCs w:val="32"/>
          <w:highlight w:val="none"/>
          <w:lang w:val="en-US" w:eastAsia="zh-CN"/>
        </w:rPr>
      </w:pPr>
      <w:r>
        <w:rPr>
          <w:rFonts w:hint="eastAsia" w:ascii="仿宋_GB2312" w:hAnsi="仿宋_GB2312" w:eastAsia="仿宋_GB2312" w:cs="仿宋_GB2312"/>
          <w:b w:val="0"/>
          <w:bCs w:val="0"/>
          <w:kern w:val="0"/>
          <w:sz w:val="32"/>
          <w:szCs w:val="32"/>
          <w:highlight w:val="none"/>
          <w:lang w:val="en-US" w:eastAsia="zh-CN"/>
        </w:rPr>
        <w:t>（二）对获得广东省引进创新创业团队、深圳市高层次人才团队立项的南山区企业，或由广东省引进创新创业团队、深圳市高层次人才团队在南山区注册成立的、具有良好产业化前景且经区科技主管部门评审通过的企业，给予最高2000万元资助。</w:t>
      </w:r>
    </w:p>
    <w:p>
      <w:pPr>
        <w:keepNext w:val="0"/>
        <w:keepLines w:val="0"/>
        <w:pageBreakBefore w:val="0"/>
        <w:widowControl w:val="0"/>
        <w:numPr>
          <w:ilvl w:val="0"/>
          <w:numId w:val="0"/>
        </w:numPr>
        <w:kinsoku/>
        <w:wordWrap/>
        <w:overflowPunct/>
        <w:topLinePunct w:val="0"/>
        <w:autoSpaceDE/>
        <w:autoSpaceDN w:val="0"/>
        <w:bidi w:val="0"/>
        <w:adjustRightInd/>
        <w:snapToGrid/>
        <w:spacing w:beforeAutospacing="0" w:afterAutospacing="0" w:line="560" w:lineRule="exact"/>
        <w:ind w:left="0" w:leftChars="0" w:firstLine="640" w:firstLineChars="200"/>
        <w:jc w:val="both"/>
        <w:textAlignment w:val="auto"/>
        <w:rPr>
          <w:rFonts w:hint="eastAsia" w:ascii="仿宋_GB2312" w:hAnsi="仿宋_GB2312" w:eastAsia="仿宋_GB2312" w:cs="仿宋_GB2312"/>
          <w:b w:val="0"/>
          <w:bCs w:val="0"/>
          <w:kern w:val="0"/>
          <w:sz w:val="32"/>
          <w:szCs w:val="32"/>
          <w:highlight w:val="none"/>
          <w:lang w:val="en-US" w:eastAsia="zh-CN"/>
        </w:rPr>
      </w:pPr>
      <w:r>
        <w:rPr>
          <w:rFonts w:hint="eastAsia" w:ascii="仿宋_GB2312" w:hAnsi="仿宋_GB2312" w:eastAsia="仿宋_GB2312" w:cs="仿宋_GB2312"/>
          <w:b w:val="0"/>
          <w:bCs w:val="0"/>
          <w:kern w:val="0"/>
          <w:sz w:val="32"/>
          <w:szCs w:val="32"/>
          <w:highlight w:val="none"/>
          <w:lang w:val="en-US" w:eastAsia="zh-CN"/>
        </w:rPr>
        <w:t>对于本措施出台前已获得南山区高层次人才团队资助的市团队项目，可根据项目产业化营业收入、获得机构投资情况给予最高1000万元奖励。</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0" w:leftChars="0" w:firstLine="643" w:firstLineChars="200"/>
        <w:textAlignment w:val="auto"/>
        <w:rPr>
          <w:rFonts w:hint="eastAsia" w:ascii="楷体_GB2312" w:hAnsi="楷体_GB2312" w:eastAsia="楷体_GB2312" w:cs="楷体_GB2312"/>
          <w:b/>
          <w:color w:val="auto"/>
          <w:kern w:val="2"/>
          <w:sz w:val="32"/>
          <w:szCs w:val="24"/>
          <w:highlight w:val="none"/>
          <w:lang w:val="en-US" w:eastAsia="zh-CN" w:bidi="ar-SA"/>
        </w:rPr>
      </w:pPr>
      <w:r>
        <w:rPr>
          <w:rFonts w:hint="eastAsia" w:ascii="楷体_GB2312" w:hAnsi="楷体_GB2312" w:eastAsia="楷体_GB2312" w:cs="楷体_GB2312"/>
          <w:b/>
          <w:color w:val="auto"/>
          <w:kern w:val="2"/>
          <w:sz w:val="32"/>
          <w:szCs w:val="24"/>
          <w:highlight w:val="none"/>
          <w:lang w:val="en-US" w:eastAsia="zh-CN" w:bidi="ar-SA"/>
        </w:rPr>
        <w:t>第十</w:t>
      </w:r>
      <w:r>
        <w:rPr>
          <w:rFonts w:hint="default" w:ascii="楷体_GB2312" w:hAnsi="楷体_GB2312" w:eastAsia="楷体_GB2312" w:cs="楷体_GB2312"/>
          <w:b/>
          <w:color w:val="auto"/>
          <w:kern w:val="2"/>
          <w:sz w:val="32"/>
          <w:szCs w:val="24"/>
          <w:highlight w:val="none"/>
          <w:lang w:val="en-US" w:eastAsia="zh-CN" w:bidi="ar-SA"/>
        </w:rPr>
        <w:t>三</w:t>
      </w:r>
      <w:r>
        <w:rPr>
          <w:rFonts w:hint="eastAsia" w:ascii="楷体_GB2312" w:hAnsi="楷体_GB2312" w:eastAsia="楷体_GB2312" w:cs="楷体_GB2312"/>
          <w:b/>
          <w:color w:val="auto"/>
          <w:kern w:val="2"/>
          <w:sz w:val="32"/>
          <w:szCs w:val="24"/>
          <w:highlight w:val="none"/>
          <w:lang w:val="en-US" w:eastAsia="zh-CN" w:bidi="ar-SA"/>
        </w:rPr>
        <w:t>条  深港澳台创新合作支持计划</w:t>
      </w:r>
      <w:bookmarkEnd w:id="0"/>
    </w:p>
    <w:p>
      <w:pPr>
        <w:keepNext w:val="0"/>
        <w:keepLines w:val="0"/>
        <w:pageBreakBefore w:val="0"/>
        <w:widowControl w:val="0"/>
        <w:wordWrap/>
        <w:topLinePunct w:val="0"/>
        <w:bidi w:val="0"/>
        <w:snapToGrid w:val="0"/>
        <w:spacing w:beforeAutospacing="0" w:afterAutospacing="0" w:line="560" w:lineRule="exact"/>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对获得香港特区政府（含香港数码港、香港科学园）、澳门特区政府创新创业类扶持计划资助或香港、澳门高校创业资助，并落户南山的港澳台企业，按实际资助金额的50%给予一次性资助，最高资助50万元。</w:t>
      </w:r>
    </w:p>
    <w:p>
      <w:pPr>
        <w:pStyle w:val="12"/>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bCs/>
          <w:color w:val="auto"/>
          <w:kern w:val="0"/>
          <w:sz w:val="32"/>
          <w:szCs w:val="32"/>
        </w:rPr>
        <w:t>对</w:t>
      </w:r>
      <w:r>
        <w:rPr>
          <w:rFonts w:hint="default" w:ascii="仿宋_GB2312" w:hAnsi="仿宋_GB2312" w:eastAsia="仿宋_GB2312" w:cs="仿宋_GB2312"/>
          <w:bCs/>
          <w:color w:val="auto"/>
          <w:kern w:val="0"/>
          <w:sz w:val="32"/>
          <w:szCs w:val="32"/>
        </w:rPr>
        <w:t>经区科技主管部门</w:t>
      </w:r>
      <w:r>
        <w:rPr>
          <w:rFonts w:hint="eastAsia" w:ascii="仿宋_GB2312" w:hAnsi="仿宋_GB2312" w:eastAsia="仿宋_GB2312" w:cs="仿宋_GB2312"/>
          <w:bCs/>
          <w:color w:val="auto"/>
          <w:kern w:val="0"/>
          <w:sz w:val="32"/>
          <w:szCs w:val="32"/>
        </w:rPr>
        <w:t>认定为深港青年创新创业基地联合孵化空间的运营</w:t>
      </w:r>
      <w:r>
        <w:rPr>
          <w:rFonts w:hint="default" w:ascii="仿宋_GB2312" w:hAnsi="仿宋_GB2312" w:eastAsia="仿宋_GB2312" w:cs="仿宋_GB2312"/>
          <w:bCs/>
          <w:color w:val="auto"/>
          <w:kern w:val="0"/>
          <w:sz w:val="32"/>
          <w:szCs w:val="32"/>
        </w:rPr>
        <w:t>主体</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color w:val="auto"/>
          <w:sz w:val="32"/>
          <w:szCs w:val="32"/>
        </w:rPr>
        <w:t>给予一次性30万元资助</w:t>
      </w:r>
      <w:r>
        <w:rPr>
          <w:rFonts w:hint="eastAsia" w:ascii="仿宋_GB2312" w:hAnsi="仿宋_GB2312" w:eastAsia="仿宋_GB2312" w:cs="仿宋_GB2312"/>
          <w:bCs/>
          <w:color w:val="auto"/>
          <w:kern w:val="0"/>
          <w:sz w:val="32"/>
          <w:szCs w:val="32"/>
        </w:rPr>
        <w:t>。</w:t>
      </w:r>
    </w:p>
    <w:p>
      <w:pPr>
        <w:pStyle w:val="12"/>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firstLine="640" w:firstLineChars="0"/>
        <w:jc w:val="left"/>
        <w:textAlignment w:val="auto"/>
        <w:rPr>
          <w:rFonts w:hint="eastAsia" w:ascii="黑体" w:hAnsi="黑体" w:eastAsia="黑体"/>
          <w:sz w:val="32"/>
          <w:szCs w:val="32"/>
        </w:rPr>
      </w:pPr>
    </w:p>
    <w:p>
      <w:pPr>
        <w:pStyle w:val="12"/>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firstLine="640" w:firstLineChars="0"/>
        <w:jc w:val="center"/>
        <w:textAlignment w:val="auto"/>
        <w:rPr>
          <w:rFonts w:hint="default" w:ascii="黑体" w:hAnsi="黑体" w:eastAsia="黑体"/>
          <w:sz w:val="32"/>
          <w:szCs w:val="32"/>
          <w:lang w:val="en-US" w:eastAsia="zh-CN"/>
        </w:rPr>
      </w:pPr>
      <w:r>
        <w:rPr>
          <w:rFonts w:hint="eastAsia" w:ascii="黑体" w:hAnsi="黑体" w:eastAsia="黑体"/>
          <w:sz w:val="32"/>
          <w:szCs w:val="32"/>
        </w:rPr>
        <w:t>第</w:t>
      </w:r>
      <w:r>
        <w:rPr>
          <w:rFonts w:hint="eastAsia" w:ascii="黑体" w:hAnsi="黑体" w:eastAsia="黑体"/>
          <w:sz w:val="32"/>
          <w:szCs w:val="32"/>
          <w:lang w:eastAsia="zh-CN"/>
        </w:rPr>
        <w:t>四</w:t>
      </w:r>
      <w:r>
        <w:rPr>
          <w:rFonts w:hint="eastAsia" w:ascii="黑体" w:hAnsi="黑体" w:eastAsia="黑体"/>
          <w:sz w:val="32"/>
          <w:szCs w:val="32"/>
        </w:rPr>
        <w:t>章</w:t>
      </w:r>
      <w:r>
        <w:rPr>
          <w:rFonts w:hint="eastAsia" w:ascii="黑体" w:hAnsi="黑体" w:eastAsia="黑体"/>
          <w:sz w:val="32"/>
          <w:szCs w:val="32"/>
          <w:lang w:val="en-US" w:eastAsia="zh-CN"/>
        </w:rPr>
        <w:t xml:space="preserve">  </w:t>
      </w:r>
      <w:r>
        <w:rPr>
          <w:rFonts w:hint="eastAsia" w:ascii="黑体" w:hAnsi="黑体" w:eastAsia="黑体"/>
          <w:sz w:val="32"/>
          <w:szCs w:val="32"/>
        </w:rPr>
        <w:t>人才</w:t>
      </w:r>
      <w:r>
        <w:rPr>
          <w:rFonts w:hint="eastAsia" w:ascii="黑体" w:hAnsi="黑体" w:eastAsia="黑体"/>
          <w:sz w:val="32"/>
          <w:szCs w:val="32"/>
          <w:lang w:val="en-US" w:eastAsia="zh-CN"/>
        </w:rPr>
        <w:t>发展与激励支持</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0" w:leftChars="0" w:firstLine="643" w:firstLineChars="200"/>
        <w:jc w:val="left"/>
        <w:textAlignment w:val="auto"/>
        <w:rPr>
          <w:rFonts w:hint="default" w:ascii="仿宋_GB2312" w:hAnsi="仿宋_GB2312" w:eastAsia="仿宋_GB2312" w:cs="仿宋_GB2312"/>
          <w:b/>
          <w:sz w:val="32"/>
          <w:szCs w:val="32"/>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0" w:leftChars="0" w:firstLine="643" w:firstLineChars="200"/>
        <w:textAlignment w:val="auto"/>
        <w:rPr>
          <w:rFonts w:hint="eastAsia" w:ascii="楷体_GB2312" w:hAnsi="楷体_GB2312" w:eastAsia="楷体_GB2312" w:cs="楷体_GB2312"/>
          <w:b/>
          <w:color w:val="auto"/>
          <w:kern w:val="2"/>
          <w:sz w:val="32"/>
          <w:szCs w:val="24"/>
          <w:highlight w:val="none"/>
          <w:lang w:val="en-US" w:eastAsia="zh-CN" w:bidi="ar-SA"/>
        </w:rPr>
      </w:pPr>
      <w:r>
        <w:rPr>
          <w:rFonts w:hint="default" w:ascii="楷体_GB2312" w:hAnsi="楷体_GB2312" w:eastAsia="楷体_GB2312" w:cs="楷体_GB2312"/>
          <w:b/>
          <w:color w:val="auto"/>
          <w:kern w:val="2"/>
          <w:sz w:val="32"/>
          <w:szCs w:val="24"/>
          <w:highlight w:val="none"/>
          <w:lang w:val="en-US" w:eastAsia="zh-CN" w:bidi="ar-SA"/>
        </w:rPr>
        <w:t xml:space="preserve">第十四条 </w:t>
      </w:r>
      <w:r>
        <w:rPr>
          <w:rFonts w:hint="eastAsia" w:ascii="楷体_GB2312" w:hAnsi="楷体_GB2312" w:eastAsia="楷体_GB2312" w:cs="楷体_GB2312"/>
          <w:b/>
          <w:color w:val="auto"/>
          <w:kern w:val="2"/>
          <w:sz w:val="32"/>
          <w:szCs w:val="24"/>
          <w:highlight w:val="none"/>
          <w:lang w:val="en-US" w:eastAsia="zh-CN" w:bidi="ar-SA"/>
        </w:rPr>
        <w:t xml:space="preserve"> 绿色通道企业人才突出贡献奖励</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对在南山区绿色通道企业连续工作1年（含）以上的</w:t>
      </w:r>
      <w:r>
        <w:rPr>
          <w:rFonts w:hint="eastAsia" w:ascii="仿宋_GB2312" w:hAnsi="仿宋_GB2312" w:eastAsia="仿宋_GB2312" w:cs="仿宋_GB2312"/>
          <w:color w:val="auto"/>
          <w:sz w:val="32"/>
          <w:szCs w:val="32"/>
          <w:lang w:val="en-US" w:eastAsia="zh-CN"/>
        </w:rPr>
        <w:t>优秀人才</w:t>
      </w:r>
      <w:r>
        <w:rPr>
          <w:rFonts w:hint="eastAsia" w:ascii="仿宋_GB2312" w:hAnsi="仿宋_GB2312" w:eastAsia="仿宋_GB2312" w:cs="仿宋_GB2312"/>
          <w:color w:val="auto"/>
          <w:sz w:val="32"/>
          <w:szCs w:val="32"/>
        </w:rPr>
        <w:t>，按</w:t>
      </w:r>
      <w:r>
        <w:rPr>
          <w:rFonts w:hint="default" w:ascii="仿宋_GB2312" w:hAnsi="仿宋_GB2312" w:eastAsia="仿宋_GB2312" w:cs="仿宋_GB2312"/>
          <w:color w:val="auto"/>
          <w:sz w:val="32"/>
          <w:szCs w:val="32"/>
        </w:rPr>
        <w:t>照</w:t>
      </w:r>
      <w:r>
        <w:rPr>
          <w:rFonts w:hint="eastAsia" w:ascii="仿宋_GB2312" w:hAnsi="仿宋_GB2312" w:eastAsia="仿宋_GB2312" w:cs="仿宋_GB2312"/>
          <w:color w:val="auto"/>
          <w:sz w:val="32"/>
          <w:szCs w:val="32"/>
        </w:rPr>
        <w:t>其</w:t>
      </w:r>
      <w:r>
        <w:rPr>
          <w:rFonts w:hint="default" w:ascii="仿宋_GB2312" w:hAnsi="仿宋_GB2312" w:eastAsia="仿宋_GB2312" w:cs="仿宋_GB2312"/>
          <w:color w:val="auto"/>
          <w:sz w:val="32"/>
          <w:szCs w:val="32"/>
        </w:rPr>
        <w:t>个人综合贡献给予不同的薪酬奖励</w:t>
      </w:r>
      <w:r>
        <w:rPr>
          <w:rFonts w:hint="eastAsia" w:ascii="仿宋_GB2312" w:hAnsi="仿宋_GB2312" w:eastAsia="仿宋_GB2312" w:cs="仿宋_GB2312"/>
          <w:color w:val="auto"/>
          <w:sz w:val="32"/>
          <w:szCs w:val="32"/>
        </w:rPr>
        <w:t>，每人每年最</w:t>
      </w:r>
      <w:r>
        <w:rPr>
          <w:rFonts w:hint="eastAsia" w:ascii="仿宋_GB2312" w:hAnsi="仿宋_GB2312" w:eastAsia="仿宋_GB2312" w:cs="仿宋_GB2312"/>
          <w:color w:val="auto"/>
          <w:sz w:val="32"/>
          <w:szCs w:val="32"/>
          <w:lang w:eastAsia="zh-CN"/>
        </w:rPr>
        <w:t>高</w:t>
      </w:r>
      <w:r>
        <w:rPr>
          <w:rFonts w:hint="default" w:ascii="仿宋_GB2312" w:hAnsi="仿宋_GB2312" w:eastAsia="仿宋_GB2312" w:cs="仿宋_GB2312"/>
          <w:color w:val="auto"/>
          <w:sz w:val="32"/>
          <w:szCs w:val="32"/>
          <w:lang w:eastAsia="zh-CN"/>
        </w:rPr>
        <w:t>不超过</w:t>
      </w:r>
      <w:r>
        <w:rPr>
          <w:rFonts w:hint="eastAsia" w:ascii="仿宋_GB2312" w:hAnsi="仿宋_GB2312" w:eastAsia="仿宋_GB2312" w:cs="仿宋_GB2312"/>
          <w:color w:val="auto"/>
          <w:sz w:val="32"/>
          <w:szCs w:val="32"/>
        </w:rPr>
        <w:t>60万元。此奖项获得者同年度不得</w:t>
      </w:r>
      <w:r>
        <w:rPr>
          <w:rFonts w:hint="eastAsia" w:ascii="仿宋_GB2312" w:hAnsi="仿宋_GB2312" w:eastAsia="仿宋_GB2312" w:cs="仿宋_GB2312"/>
          <w:color w:val="auto"/>
          <w:sz w:val="32"/>
          <w:szCs w:val="32"/>
          <w:lang w:val="en-US" w:eastAsia="zh-CN"/>
        </w:rPr>
        <w:t>同时享受</w:t>
      </w:r>
      <w:r>
        <w:rPr>
          <w:rFonts w:hint="eastAsia" w:ascii="仿宋_GB2312" w:hAnsi="仿宋_GB2312" w:eastAsia="仿宋_GB2312" w:cs="仿宋_GB2312"/>
          <w:color w:val="auto"/>
          <w:sz w:val="32"/>
          <w:szCs w:val="32"/>
        </w:rPr>
        <w:t>粤港澳大湾区个税优惠政策、</w:t>
      </w:r>
      <w:r>
        <w:rPr>
          <w:rFonts w:hint="default" w:ascii="仿宋_GB2312" w:hAnsi="仿宋_GB2312" w:eastAsia="仿宋_GB2312" w:cs="仿宋_GB2312"/>
          <w:color w:val="auto"/>
          <w:sz w:val="32"/>
          <w:szCs w:val="32"/>
        </w:rPr>
        <w:t>深圳市产业发展与创新人才奖</w:t>
      </w:r>
      <w:r>
        <w:rPr>
          <w:rFonts w:hint="eastAsia" w:ascii="仿宋_GB2312" w:hAnsi="仿宋_GB2312" w:eastAsia="仿宋_GB2312" w:cs="仿宋_GB2312"/>
          <w:color w:val="auto"/>
          <w:sz w:val="32"/>
          <w:szCs w:val="32"/>
        </w:rPr>
        <w:t>、深圳市</w:t>
      </w:r>
      <w:r>
        <w:rPr>
          <w:rFonts w:hint="eastAsia" w:ascii="仿宋_GB2312" w:hAnsi="仿宋_GB2312" w:eastAsia="仿宋_GB2312" w:cs="仿宋_GB2312"/>
          <w:color w:val="auto"/>
          <w:sz w:val="32"/>
          <w:szCs w:val="32"/>
          <w:lang w:val="en-US" w:eastAsia="zh-CN"/>
        </w:rPr>
        <w:t>高层次</w:t>
      </w:r>
      <w:r>
        <w:rPr>
          <w:rFonts w:hint="eastAsia" w:ascii="仿宋_GB2312" w:hAnsi="仿宋_GB2312" w:eastAsia="仿宋_GB2312" w:cs="仿宋_GB2312"/>
          <w:color w:val="auto"/>
          <w:sz w:val="32"/>
          <w:szCs w:val="32"/>
        </w:rPr>
        <w:t>人才奖励</w:t>
      </w:r>
      <w:r>
        <w:rPr>
          <w:rFonts w:hint="eastAsia" w:ascii="仿宋_GB2312" w:hAnsi="仿宋_GB2312" w:eastAsia="仿宋_GB2312" w:cs="仿宋_GB2312"/>
          <w:color w:val="auto"/>
          <w:sz w:val="32"/>
          <w:szCs w:val="32"/>
          <w:lang w:val="en-US" w:eastAsia="zh-CN"/>
        </w:rPr>
        <w:t>补贴等各类市级人才奖励或补贴，以及深圳市各区人才优惠政策所规定的其他奖励或补贴</w:t>
      </w:r>
      <w:r>
        <w:rPr>
          <w:rFonts w:hint="eastAsia" w:ascii="仿宋_GB2312" w:hAnsi="仿宋_GB2312" w:eastAsia="仿宋_GB2312" w:cs="仿宋_GB2312"/>
          <w:color w:val="auto"/>
          <w:sz w:val="32"/>
          <w:szCs w:val="32"/>
        </w:rPr>
        <w:t>。</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0" w:leftChars="0" w:firstLine="643" w:firstLineChars="200"/>
        <w:textAlignment w:val="auto"/>
        <w:rPr>
          <w:rFonts w:hint="eastAsia" w:ascii="楷体_GB2312" w:hAnsi="楷体_GB2312" w:eastAsia="楷体_GB2312" w:cs="楷体_GB2312"/>
          <w:b/>
          <w:color w:val="auto"/>
          <w:kern w:val="2"/>
          <w:sz w:val="32"/>
          <w:szCs w:val="24"/>
          <w:highlight w:val="none"/>
          <w:lang w:val="en-US" w:eastAsia="zh-CN" w:bidi="ar-SA"/>
        </w:rPr>
      </w:pPr>
      <w:r>
        <w:rPr>
          <w:rFonts w:hint="default" w:ascii="楷体_GB2312" w:hAnsi="楷体_GB2312" w:eastAsia="楷体_GB2312" w:cs="楷体_GB2312"/>
          <w:b/>
          <w:color w:val="auto"/>
          <w:kern w:val="2"/>
          <w:sz w:val="32"/>
          <w:szCs w:val="24"/>
          <w:highlight w:val="none"/>
          <w:lang w:val="en-US" w:eastAsia="zh-CN" w:bidi="ar-SA"/>
        </w:rPr>
        <w:t xml:space="preserve">第十五条 </w:t>
      </w:r>
      <w:r>
        <w:rPr>
          <w:rFonts w:hint="eastAsia" w:ascii="楷体_GB2312" w:hAnsi="楷体_GB2312" w:eastAsia="楷体_GB2312" w:cs="楷体_GB2312"/>
          <w:b/>
          <w:color w:val="auto"/>
          <w:kern w:val="2"/>
          <w:sz w:val="32"/>
          <w:szCs w:val="24"/>
          <w:highlight w:val="none"/>
          <w:lang w:val="en-US" w:eastAsia="zh-CN" w:bidi="ar-SA"/>
        </w:rPr>
        <w:t xml:space="preserve"> </w:t>
      </w:r>
      <w:r>
        <w:rPr>
          <w:rFonts w:hint="default" w:ascii="楷体_GB2312" w:hAnsi="楷体_GB2312" w:eastAsia="楷体_GB2312" w:cs="楷体_GB2312"/>
          <w:b/>
          <w:color w:val="auto"/>
          <w:kern w:val="2"/>
          <w:sz w:val="32"/>
          <w:szCs w:val="24"/>
          <w:highlight w:val="none"/>
          <w:lang w:val="en-US" w:eastAsia="zh-CN" w:bidi="ar-SA"/>
        </w:rPr>
        <w:t>人力资源服务发展</w:t>
      </w:r>
      <w:r>
        <w:rPr>
          <w:rFonts w:hint="eastAsia" w:ascii="楷体_GB2312" w:hAnsi="楷体_GB2312" w:eastAsia="楷体_GB2312" w:cs="楷体_GB2312"/>
          <w:b/>
          <w:color w:val="auto"/>
          <w:kern w:val="2"/>
          <w:sz w:val="32"/>
          <w:szCs w:val="24"/>
          <w:highlight w:val="none"/>
          <w:lang w:val="en-US" w:eastAsia="zh-CN" w:bidi="ar-SA"/>
        </w:rPr>
        <w:t>贡献奖</w:t>
      </w:r>
    </w:p>
    <w:p>
      <w:pPr>
        <w:keepNext w:val="0"/>
        <w:keepLines w:val="0"/>
        <w:pageBreakBefore w:val="0"/>
        <w:widowControl w:val="0"/>
        <w:numPr>
          <w:ilvl w:val="0"/>
          <w:numId w:val="0"/>
        </w:numPr>
        <w:kinsoku/>
        <w:wordWrap/>
        <w:overflowPunct/>
        <w:topLinePunct w:val="0"/>
        <w:autoSpaceDE/>
        <w:autoSpaceDN w:val="0"/>
        <w:bidi w:val="0"/>
        <w:adjustRightInd/>
        <w:snapToGrid/>
        <w:spacing w:beforeAutospacing="0" w:afterAutospacing="0" w:line="560" w:lineRule="exact"/>
        <w:ind w:left="0" w:leftChars="0" w:firstLine="640" w:firstLineChars="200"/>
        <w:jc w:val="both"/>
        <w:textAlignment w:val="auto"/>
        <w:rPr>
          <w:rFonts w:hint="default"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lang w:val="en-US" w:eastAsia="zh-CN"/>
        </w:rPr>
        <w:t>鼓励优质人力资源服务机构在南山</w:t>
      </w:r>
      <w:r>
        <w:rPr>
          <w:rFonts w:hint="default" w:ascii="仿宋" w:hAnsi="仿宋" w:eastAsia="仿宋" w:cs="仿宋"/>
          <w:b w:val="0"/>
          <w:bCs w:val="0"/>
          <w:color w:val="auto"/>
          <w:sz w:val="32"/>
          <w:szCs w:val="32"/>
          <w:highlight w:val="none"/>
          <w:lang w:eastAsia="zh-CN"/>
        </w:rPr>
        <w:t>发展，对</w:t>
      </w:r>
      <w:r>
        <w:rPr>
          <w:rFonts w:hint="eastAsia" w:ascii="仿宋" w:hAnsi="仿宋" w:eastAsia="仿宋" w:cs="仿宋"/>
          <w:b w:val="0"/>
          <w:bCs w:val="0"/>
          <w:color w:val="auto"/>
          <w:sz w:val="32"/>
          <w:szCs w:val="32"/>
          <w:highlight w:val="none"/>
          <w:lang w:eastAsia="zh-CN"/>
        </w:rPr>
        <w:t>为辖区企业提供人力资源服务</w:t>
      </w:r>
      <w:r>
        <w:rPr>
          <w:rFonts w:hint="default" w:ascii="仿宋" w:hAnsi="仿宋" w:eastAsia="仿宋" w:cs="仿宋"/>
          <w:b w:val="0"/>
          <w:bCs w:val="0"/>
          <w:color w:val="auto"/>
          <w:sz w:val="32"/>
          <w:szCs w:val="32"/>
          <w:highlight w:val="none"/>
          <w:lang w:eastAsia="zh-CN"/>
        </w:rPr>
        <w:t>达到一定服务规模和年度营业收入额的机构给予一次性奖励。每家机构最高奖励不超过100万元。</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0" w:leftChars="0" w:firstLine="643" w:firstLineChars="200"/>
        <w:textAlignment w:val="auto"/>
        <w:rPr>
          <w:rFonts w:hint="default" w:ascii="楷体_GB2312" w:hAnsi="楷体_GB2312" w:eastAsia="楷体_GB2312" w:cs="楷体_GB2312"/>
          <w:b/>
          <w:color w:val="auto"/>
          <w:kern w:val="2"/>
          <w:sz w:val="32"/>
          <w:szCs w:val="24"/>
          <w:highlight w:val="none"/>
          <w:lang w:val="en-US" w:eastAsia="zh-CN" w:bidi="ar-SA"/>
        </w:rPr>
      </w:pPr>
      <w:r>
        <w:rPr>
          <w:rFonts w:hint="default" w:ascii="楷体_GB2312" w:hAnsi="楷体_GB2312" w:eastAsia="楷体_GB2312" w:cs="楷体_GB2312"/>
          <w:b/>
          <w:color w:val="auto"/>
          <w:kern w:val="2"/>
          <w:sz w:val="32"/>
          <w:szCs w:val="24"/>
          <w:highlight w:val="none"/>
          <w:lang w:val="en-US" w:eastAsia="zh-CN" w:bidi="ar-SA"/>
        </w:rPr>
        <w:t xml:space="preserve">第十六条 </w:t>
      </w:r>
      <w:r>
        <w:rPr>
          <w:rFonts w:hint="eastAsia" w:ascii="楷体_GB2312" w:hAnsi="楷体_GB2312" w:eastAsia="楷体_GB2312" w:cs="楷体_GB2312"/>
          <w:b/>
          <w:color w:val="auto"/>
          <w:kern w:val="2"/>
          <w:sz w:val="32"/>
          <w:szCs w:val="24"/>
          <w:highlight w:val="none"/>
          <w:lang w:val="en-US" w:eastAsia="zh-CN" w:bidi="ar-SA"/>
        </w:rPr>
        <w:t xml:space="preserve"> </w:t>
      </w:r>
      <w:r>
        <w:rPr>
          <w:rFonts w:hint="default" w:ascii="楷体_GB2312" w:hAnsi="楷体_GB2312" w:eastAsia="楷体_GB2312" w:cs="楷体_GB2312"/>
          <w:b/>
          <w:color w:val="auto"/>
          <w:kern w:val="2"/>
          <w:sz w:val="32"/>
          <w:szCs w:val="24"/>
          <w:highlight w:val="none"/>
          <w:lang w:val="en-US" w:eastAsia="zh-CN" w:bidi="ar-SA"/>
        </w:rPr>
        <w:t>优秀</w:t>
      </w:r>
      <w:r>
        <w:rPr>
          <w:rFonts w:hint="eastAsia" w:ascii="楷体_GB2312" w:hAnsi="楷体_GB2312" w:eastAsia="楷体_GB2312" w:cs="楷体_GB2312"/>
          <w:b/>
          <w:color w:val="auto"/>
          <w:kern w:val="2"/>
          <w:sz w:val="32"/>
          <w:szCs w:val="24"/>
          <w:highlight w:val="none"/>
          <w:lang w:val="en-US" w:eastAsia="zh-CN" w:bidi="ar-SA"/>
        </w:rPr>
        <w:t>技能人才</w:t>
      </w:r>
      <w:r>
        <w:rPr>
          <w:rFonts w:hint="default" w:ascii="楷体_GB2312" w:hAnsi="楷体_GB2312" w:eastAsia="楷体_GB2312" w:cs="楷体_GB2312"/>
          <w:b/>
          <w:color w:val="auto"/>
          <w:kern w:val="2"/>
          <w:sz w:val="32"/>
          <w:szCs w:val="24"/>
          <w:highlight w:val="none"/>
          <w:lang w:val="en-US" w:eastAsia="zh-CN" w:bidi="ar-SA"/>
        </w:rPr>
        <w:t>发展激励</w:t>
      </w:r>
    </w:p>
    <w:p>
      <w:pPr>
        <w:keepNext w:val="0"/>
        <w:keepLines w:val="0"/>
        <w:pageBreakBefore w:val="0"/>
        <w:widowControl w:val="0"/>
        <w:numPr>
          <w:ilvl w:val="0"/>
          <w:numId w:val="0"/>
        </w:numPr>
        <w:kinsoku/>
        <w:wordWrap/>
        <w:overflowPunct/>
        <w:topLinePunct w:val="0"/>
        <w:autoSpaceDE/>
        <w:autoSpaceDN w:val="0"/>
        <w:bidi w:val="0"/>
        <w:adjustRightInd/>
        <w:snapToGrid/>
        <w:spacing w:beforeAutospacing="0" w:afterAutospacing="0"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auto"/>
          <w:sz w:val="32"/>
          <w:szCs w:val="32"/>
          <w:highlight w:val="none"/>
        </w:rPr>
        <w:t>对</w:t>
      </w:r>
      <w:r>
        <w:rPr>
          <w:rFonts w:hint="default" w:ascii="仿宋_GB2312" w:hAnsi="仿宋_GB2312" w:eastAsia="仿宋_GB2312" w:cs="仿宋_GB2312"/>
          <w:color w:val="auto"/>
          <w:sz w:val="32"/>
          <w:szCs w:val="32"/>
          <w:highlight w:val="none"/>
        </w:rPr>
        <w:t>达到一定规模和贡献的</w:t>
      </w:r>
      <w:r>
        <w:rPr>
          <w:rFonts w:hint="eastAsia" w:ascii="仿宋_GB2312" w:hAnsi="仿宋_GB2312" w:eastAsia="仿宋_GB2312" w:cs="仿宋_GB2312"/>
          <w:color w:val="auto"/>
          <w:sz w:val="32"/>
          <w:szCs w:val="32"/>
          <w:highlight w:val="none"/>
        </w:rPr>
        <w:t>先进制造业企业</w:t>
      </w:r>
      <w:r>
        <w:rPr>
          <w:rFonts w:hint="eastAsia" w:ascii="仿宋_GB2312" w:hAnsi="仿宋_GB2312" w:eastAsia="仿宋_GB2312" w:cs="仿宋_GB2312"/>
          <w:b w:val="0"/>
          <w:bCs w:val="0"/>
          <w:color w:val="auto"/>
          <w:kern w:val="0"/>
          <w:sz w:val="32"/>
          <w:szCs w:val="32"/>
          <w:highlight w:val="none"/>
          <w:lang w:val="en-US" w:eastAsia="zh-CN"/>
        </w:rPr>
        <w:t>、</w:t>
      </w:r>
      <w:r>
        <w:rPr>
          <w:rFonts w:hint="default" w:ascii="仿宋_GB2312" w:hAnsi="仿宋_GB2312" w:eastAsia="仿宋_GB2312" w:cs="仿宋_GB2312"/>
          <w:b w:val="0"/>
          <w:bCs w:val="0"/>
          <w:color w:val="auto"/>
          <w:kern w:val="0"/>
          <w:sz w:val="32"/>
          <w:szCs w:val="32"/>
          <w:highlight w:val="none"/>
          <w:lang w:eastAsia="zh-CN"/>
        </w:rPr>
        <w:t>现代服务业企业</w:t>
      </w:r>
      <w:r>
        <w:rPr>
          <w:rFonts w:hint="default" w:ascii="仿宋_GB2312" w:hAnsi="仿宋_GB2312" w:eastAsia="仿宋_GB2312" w:cs="仿宋_GB2312"/>
          <w:color w:val="auto"/>
          <w:sz w:val="32"/>
          <w:szCs w:val="32"/>
          <w:highlight w:val="none"/>
        </w:rPr>
        <w:t>在</w:t>
      </w:r>
      <w:r>
        <w:rPr>
          <w:rFonts w:hint="default" w:ascii="仿宋_GB2312" w:hAnsi="仿宋_GB2312" w:eastAsia="仿宋_GB2312" w:cs="仿宋_GB2312"/>
          <w:i w:val="0"/>
          <w:caps w:val="0"/>
          <w:color w:val="auto"/>
          <w:spacing w:val="0"/>
          <w:sz w:val="32"/>
          <w:szCs w:val="32"/>
          <w:highlight w:val="none"/>
        </w:rPr>
        <w:t>技术技能岗位上连续</w:t>
      </w:r>
      <w:r>
        <w:rPr>
          <w:rFonts w:hint="eastAsia" w:ascii="仿宋_GB2312" w:hAnsi="仿宋_GB2312" w:eastAsia="仿宋_GB2312" w:cs="仿宋_GB2312"/>
          <w:i w:val="0"/>
          <w:caps w:val="0"/>
          <w:color w:val="auto"/>
          <w:spacing w:val="0"/>
          <w:sz w:val="32"/>
          <w:szCs w:val="32"/>
          <w:highlight w:val="none"/>
        </w:rPr>
        <w:t>工作</w:t>
      </w:r>
      <w:r>
        <w:rPr>
          <w:rFonts w:hint="default" w:ascii="仿宋_GB2312" w:hAnsi="仿宋_GB2312" w:eastAsia="仿宋_GB2312" w:cs="仿宋_GB2312"/>
          <w:i w:val="0"/>
          <w:caps w:val="0"/>
          <w:color w:val="auto"/>
          <w:spacing w:val="0"/>
          <w:sz w:val="32"/>
          <w:szCs w:val="32"/>
          <w:highlight w:val="none"/>
        </w:rPr>
        <w:t>3年（含）以上的优秀技能人才</w:t>
      </w:r>
      <w:r>
        <w:rPr>
          <w:rFonts w:hint="eastAsia" w:ascii="仿宋_GB2312" w:hAnsi="仿宋_GB2312" w:eastAsia="仿宋_GB2312" w:cs="仿宋_GB2312"/>
          <w:color w:val="auto"/>
          <w:sz w:val="32"/>
          <w:szCs w:val="32"/>
          <w:highlight w:val="none"/>
        </w:rPr>
        <w:t>，给予每人2万元生活补贴，每家企业</w:t>
      </w:r>
      <w:r>
        <w:rPr>
          <w:rFonts w:hint="default" w:ascii="仿宋_GB2312" w:hAnsi="仿宋_GB2312" w:eastAsia="仿宋_GB2312" w:cs="仿宋_GB2312"/>
          <w:color w:val="auto"/>
          <w:sz w:val="32"/>
          <w:szCs w:val="32"/>
          <w:highlight w:val="none"/>
        </w:rPr>
        <w:t>每年资助人数依据其上年度在南山区的经济贡献最多</w:t>
      </w:r>
      <w:r>
        <w:rPr>
          <w:rFonts w:hint="eastAsia" w:ascii="仿宋_GB2312" w:hAnsi="仿宋_GB2312" w:eastAsia="仿宋_GB2312" w:cs="仿宋_GB2312"/>
          <w:color w:val="auto"/>
          <w:sz w:val="32"/>
          <w:szCs w:val="32"/>
          <w:highlight w:val="none"/>
        </w:rPr>
        <w:t>不超过</w:t>
      </w:r>
      <w:r>
        <w:rPr>
          <w:rFonts w:hint="default" w:ascii="仿宋_GB2312" w:hAnsi="仿宋_GB2312" w:eastAsia="仿宋_GB2312" w:cs="仿宋_GB2312"/>
          <w:color w:val="auto"/>
          <w:sz w:val="32"/>
          <w:szCs w:val="32"/>
          <w:highlight w:val="none"/>
        </w:rPr>
        <w:t>10</w:t>
      </w:r>
      <w:r>
        <w:rPr>
          <w:rFonts w:hint="eastAsia" w:ascii="仿宋_GB2312" w:hAnsi="仿宋_GB2312" w:eastAsia="仿宋_GB2312" w:cs="仿宋_GB2312"/>
          <w:color w:val="auto"/>
          <w:sz w:val="32"/>
          <w:szCs w:val="32"/>
          <w:highlight w:val="none"/>
        </w:rPr>
        <w:t>人。</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0" w:leftChars="0" w:firstLine="643" w:firstLineChars="200"/>
        <w:textAlignment w:val="auto"/>
        <w:rPr>
          <w:rFonts w:hint="eastAsia" w:ascii="楷体_GB2312" w:hAnsi="楷体_GB2312" w:eastAsia="楷体_GB2312" w:cs="楷体_GB2312"/>
          <w:b/>
          <w:color w:val="auto"/>
          <w:kern w:val="2"/>
          <w:sz w:val="32"/>
          <w:szCs w:val="24"/>
          <w:highlight w:val="none"/>
          <w:lang w:val="en-US" w:eastAsia="zh-CN" w:bidi="ar-SA"/>
        </w:rPr>
      </w:pPr>
      <w:r>
        <w:rPr>
          <w:rFonts w:hint="default" w:ascii="楷体_GB2312" w:hAnsi="楷体_GB2312" w:eastAsia="楷体_GB2312" w:cs="楷体_GB2312"/>
          <w:b/>
          <w:color w:val="auto"/>
          <w:kern w:val="2"/>
          <w:sz w:val="32"/>
          <w:szCs w:val="24"/>
          <w:highlight w:val="none"/>
          <w:lang w:val="en-US" w:eastAsia="zh-CN" w:bidi="ar-SA"/>
        </w:rPr>
        <w:t xml:space="preserve">第十七条 </w:t>
      </w:r>
      <w:r>
        <w:rPr>
          <w:rFonts w:hint="eastAsia" w:ascii="楷体_GB2312" w:hAnsi="楷体_GB2312" w:eastAsia="楷体_GB2312" w:cs="楷体_GB2312"/>
          <w:b/>
          <w:color w:val="auto"/>
          <w:kern w:val="2"/>
          <w:sz w:val="32"/>
          <w:szCs w:val="24"/>
          <w:highlight w:val="none"/>
          <w:lang w:val="en-US" w:eastAsia="zh-CN" w:bidi="ar-SA"/>
        </w:rPr>
        <w:t xml:space="preserve"> 开发新职业工种奖励</w:t>
      </w:r>
    </w:p>
    <w:p>
      <w:pPr>
        <w:keepNext w:val="0"/>
        <w:keepLines w:val="0"/>
        <w:pageBreakBefore w:val="0"/>
        <w:widowControl w:val="0"/>
        <w:numPr>
          <w:ilvl w:val="0"/>
          <w:numId w:val="0"/>
        </w:numPr>
        <w:kinsoku/>
        <w:wordWrap/>
        <w:overflowPunct/>
        <w:topLinePunct w:val="0"/>
        <w:autoSpaceDE/>
        <w:autoSpaceDN w:val="0"/>
        <w:bidi w:val="0"/>
        <w:adjustRightInd/>
        <w:snapToGrid/>
        <w:spacing w:beforeAutospacing="0" w:afterAutospacing="0" w:line="560" w:lineRule="exact"/>
        <w:ind w:left="0" w:leftChars="0" w:firstLine="640" w:firstLineChars="200"/>
        <w:jc w:val="both"/>
        <w:textAlignment w:val="auto"/>
        <w:rPr>
          <w:rFonts w:hint="eastAsia" w:ascii="仿宋_GB2312" w:hAnsi="仿宋_GB2312" w:eastAsia="仿宋_GB2312" w:cs="仿宋_GB2312"/>
          <w:b w:val="0"/>
          <w:bCs w:val="0"/>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鼓励企业、行业组织开发新经济、新业态职业工种，对申报新职业工种并纳入国家职业工种目录的，给予每个职业工种提出单位20万元一次性奖励；对参与制定国家职业技能标准的区内企业、院校、行业组织，给予每个职业工种参与单位10万元一次性奖励</w:t>
      </w:r>
      <w:r>
        <w:rPr>
          <w:rFonts w:hint="default" w:ascii="仿宋_GB2312" w:hAnsi="仿宋_GB2312" w:eastAsia="仿宋_GB2312" w:cs="仿宋_GB2312"/>
          <w:b w:val="0"/>
          <w:bCs w:val="0"/>
          <w:color w:val="auto"/>
          <w:kern w:val="0"/>
          <w:sz w:val="32"/>
          <w:szCs w:val="32"/>
          <w:highlight w:val="none"/>
          <w:lang w:eastAsia="zh-CN"/>
        </w:rPr>
        <w:t>。</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0" w:leftChars="0" w:firstLine="643" w:firstLineChars="200"/>
        <w:textAlignment w:val="auto"/>
        <w:rPr>
          <w:rFonts w:hint="eastAsia" w:ascii="楷体_GB2312" w:hAnsi="楷体_GB2312" w:eastAsia="楷体_GB2312" w:cs="楷体_GB2312"/>
          <w:b/>
          <w:color w:val="auto"/>
          <w:kern w:val="2"/>
          <w:sz w:val="32"/>
          <w:szCs w:val="24"/>
          <w:highlight w:val="none"/>
          <w:lang w:val="en" w:eastAsia="zh-CN" w:bidi="ar-SA"/>
        </w:rPr>
      </w:pPr>
      <w:r>
        <w:rPr>
          <w:rFonts w:hint="default" w:ascii="楷体_GB2312" w:hAnsi="楷体_GB2312" w:eastAsia="楷体_GB2312" w:cs="楷体_GB2312"/>
          <w:b/>
          <w:color w:val="auto"/>
          <w:kern w:val="2"/>
          <w:sz w:val="32"/>
          <w:szCs w:val="24"/>
          <w:highlight w:val="none"/>
          <w:lang w:val="en-US" w:eastAsia="zh-CN" w:bidi="ar-SA"/>
        </w:rPr>
        <w:t xml:space="preserve">第十八条 </w:t>
      </w:r>
      <w:r>
        <w:rPr>
          <w:rFonts w:hint="eastAsia" w:ascii="楷体_GB2312" w:hAnsi="楷体_GB2312" w:eastAsia="楷体_GB2312" w:cs="楷体_GB2312"/>
          <w:b/>
          <w:color w:val="auto"/>
          <w:kern w:val="2"/>
          <w:sz w:val="32"/>
          <w:szCs w:val="24"/>
          <w:highlight w:val="none"/>
          <w:lang w:val="en-US" w:eastAsia="zh-CN" w:bidi="ar-SA"/>
        </w:rPr>
        <w:t xml:space="preserve"> </w:t>
      </w:r>
      <w:r>
        <w:rPr>
          <w:rFonts w:hint="eastAsia" w:ascii="楷体_GB2312" w:hAnsi="楷体_GB2312" w:eastAsia="楷体_GB2312" w:cs="楷体_GB2312"/>
          <w:b/>
          <w:color w:val="auto"/>
          <w:kern w:val="2"/>
          <w:sz w:val="32"/>
          <w:szCs w:val="24"/>
          <w:highlight w:val="none"/>
          <w:lang w:val="en" w:eastAsia="zh-CN" w:bidi="ar-SA"/>
        </w:rPr>
        <w:t>金融专业资格考试奖励</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鼓励南山区金融从业人员积极参加专业资格认证考试，取得相应执业证书的，给予一次性2万元奖励。</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0" w:leftChars="0" w:firstLine="643" w:firstLineChars="200"/>
        <w:textAlignment w:val="auto"/>
        <w:rPr>
          <w:rFonts w:hint="eastAsia" w:ascii="楷体_GB2312" w:hAnsi="楷体_GB2312" w:eastAsia="楷体_GB2312" w:cs="楷体_GB2312"/>
          <w:b/>
          <w:color w:val="auto"/>
          <w:kern w:val="2"/>
          <w:sz w:val="32"/>
          <w:szCs w:val="24"/>
          <w:highlight w:val="none"/>
          <w:lang w:val="en-US" w:eastAsia="zh-CN" w:bidi="ar-SA"/>
        </w:rPr>
      </w:pPr>
      <w:r>
        <w:rPr>
          <w:rFonts w:hint="default" w:ascii="楷体_GB2312" w:hAnsi="楷体_GB2312" w:eastAsia="楷体_GB2312" w:cs="楷体_GB2312"/>
          <w:b/>
          <w:color w:val="auto"/>
          <w:kern w:val="2"/>
          <w:sz w:val="32"/>
          <w:szCs w:val="24"/>
          <w:highlight w:val="none"/>
          <w:lang w:val="en-US" w:eastAsia="zh-CN" w:bidi="ar-SA"/>
        </w:rPr>
        <w:t xml:space="preserve">第十九条 </w:t>
      </w:r>
      <w:r>
        <w:rPr>
          <w:rFonts w:hint="eastAsia" w:ascii="楷体_GB2312" w:hAnsi="楷体_GB2312" w:eastAsia="楷体_GB2312" w:cs="楷体_GB2312"/>
          <w:b/>
          <w:color w:val="auto"/>
          <w:kern w:val="2"/>
          <w:sz w:val="32"/>
          <w:szCs w:val="24"/>
          <w:highlight w:val="none"/>
          <w:lang w:val="en-US" w:eastAsia="zh-CN" w:bidi="ar-SA"/>
        </w:rPr>
        <w:t xml:space="preserve"> 国际人才交流学术活动支持</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支持西丽湖国际科教城内高校院所等单位举办高水平国际学术活动，</w:t>
      </w:r>
      <w:r>
        <w:rPr>
          <w:rFonts w:hint="eastAsia" w:ascii="仿宋_GB2312" w:hAnsi="仿宋_GB2312" w:eastAsia="仿宋_GB2312" w:cs="仿宋_GB2312"/>
          <w:sz w:val="32"/>
          <w:szCs w:val="32"/>
          <w:lang w:eastAsia="zh-CN"/>
        </w:rPr>
        <w:t>对经</w:t>
      </w:r>
      <w:r>
        <w:rPr>
          <w:rFonts w:hint="default" w:ascii="仿宋_GB2312" w:hAnsi="仿宋_GB2312" w:eastAsia="仿宋_GB2312" w:cs="仿宋_GB2312"/>
          <w:sz w:val="32"/>
          <w:szCs w:val="32"/>
          <w:lang w:eastAsia="zh-CN"/>
        </w:rPr>
        <w:t>区人才主管部门报备并确认</w:t>
      </w:r>
      <w:r>
        <w:rPr>
          <w:rFonts w:hint="eastAsia" w:ascii="仿宋_GB2312" w:hAnsi="仿宋_GB2312" w:eastAsia="仿宋_GB2312" w:cs="仿宋_GB2312"/>
          <w:sz w:val="32"/>
          <w:szCs w:val="32"/>
          <w:lang w:eastAsia="zh-CN"/>
        </w:rPr>
        <w:t>的活动</w:t>
      </w:r>
      <w:r>
        <w:rPr>
          <w:rFonts w:hint="eastAsia" w:ascii="仿宋_GB2312" w:hAnsi="仿宋_GB2312" w:eastAsia="仿宋_GB2312" w:cs="仿宋_GB2312"/>
          <w:sz w:val="32"/>
          <w:szCs w:val="32"/>
        </w:rPr>
        <w:t>按照实际支出给予60%的费用补贴，每单位每年最高支持100万元。</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center"/>
        <w:textAlignment w:val="auto"/>
        <w:rPr>
          <w:rFonts w:hint="eastAsia" w:ascii="黑体" w:hAnsi="黑体" w:eastAsia="黑体" w:cs="黑体"/>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jc w:val="center"/>
        <w:textAlignment w:val="auto"/>
        <w:rPr>
          <w:rFonts w:hint="eastAsia" w:ascii="黑体" w:hAnsi="黑体" w:eastAsia="黑体" w:cs="黑体"/>
          <w:kern w:val="0"/>
          <w:sz w:val="32"/>
          <w:szCs w:val="32"/>
          <w:u w:val="none"/>
          <w:lang w:val="en-US" w:eastAsia="zh-CN"/>
        </w:rPr>
      </w:pPr>
      <w:r>
        <w:rPr>
          <w:rFonts w:hint="eastAsia" w:ascii="黑体" w:hAnsi="黑体" w:eastAsia="黑体" w:cs="黑体"/>
          <w:kern w:val="0"/>
          <w:sz w:val="32"/>
          <w:szCs w:val="32"/>
          <w:u w:val="none"/>
          <w:lang w:val="en-US" w:eastAsia="zh-CN"/>
        </w:rPr>
        <w:t>第</w:t>
      </w:r>
      <w:r>
        <w:rPr>
          <w:rFonts w:hint="default" w:ascii="黑体" w:hAnsi="黑体" w:eastAsia="黑体" w:cs="黑体"/>
          <w:kern w:val="0"/>
          <w:sz w:val="32"/>
          <w:szCs w:val="32"/>
          <w:u w:val="none"/>
          <w:lang w:eastAsia="zh-CN"/>
        </w:rPr>
        <w:t>五</w:t>
      </w:r>
      <w:r>
        <w:rPr>
          <w:rFonts w:hint="eastAsia" w:ascii="黑体" w:hAnsi="黑体" w:eastAsia="黑体" w:cs="黑体"/>
          <w:kern w:val="0"/>
          <w:sz w:val="32"/>
          <w:szCs w:val="32"/>
          <w:u w:val="none"/>
          <w:lang w:val="en-US" w:eastAsia="zh-CN"/>
        </w:rPr>
        <w:t>章  附  则</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24"/>
        <w:textAlignment w:val="auto"/>
        <w:outlineLvl w:val="9"/>
        <w:rPr>
          <w:rFonts w:hint="eastAsia" w:ascii="仿宋_GB2312" w:hAnsi="仿宋_GB2312" w:eastAsia="仿宋_GB2312" w:cs="仿宋_GB2312"/>
          <w:b/>
          <w:bCs/>
          <w:color w:val="auto"/>
          <w:spacing w:val="-4"/>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24"/>
        <w:textAlignment w:val="auto"/>
        <w:outlineLvl w:val="9"/>
        <w:rPr>
          <w:rFonts w:hint="eastAsia" w:ascii="仿宋_GB2312" w:hAnsi="仿宋_GB2312" w:eastAsia="仿宋_GB2312" w:cs="仿宋_GB2312"/>
          <w:b w:val="0"/>
          <w:bCs w:val="0"/>
          <w:color w:val="auto"/>
          <w:spacing w:val="-4"/>
          <w:kern w:val="0"/>
          <w:sz w:val="32"/>
          <w:szCs w:val="32"/>
        </w:rPr>
      </w:pPr>
      <w:r>
        <w:rPr>
          <w:rFonts w:hint="eastAsia" w:ascii="楷体_GB2312" w:hAnsi="楷体_GB2312" w:eastAsia="楷体_GB2312" w:cs="楷体_GB2312"/>
          <w:b/>
          <w:color w:val="auto"/>
          <w:kern w:val="2"/>
          <w:sz w:val="32"/>
          <w:szCs w:val="24"/>
          <w:highlight w:val="none"/>
          <w:lang w:val="en-US" w:eastAsia="zh-CN" w:bidi="ar-SA"/>
        </w:rPr>
        <w:t>第</w:t>
      </w:r>
      <w:r>
        <w:rPr>
          <w:rFonts w:hint="default" w:ascii="楷体_GB2312" w:hAnsi="楷体_GB2312" w:eastAsia="楷体_GB2312" w:cs="楷体_GB2312"/>
          <w:b/>
          <w:color w:val="auto"/>
          <w:kern w:val="2"/>
          <w:sz w:val="32"/>
          <w:szCs w:val="24"/>
          <w:highlight w:val="none"/>
          <w:lang w:val="en-US" w:eastAsia="zh-CN" w:bidi="ar-SA"/>
        </w:rPr>
        <w:t>二十</w:t>
      </w:r>
      <w:r>
        <w:rPr>
          <w:rFonts w:hint="eastAsia" w:ascii="楷体_GB2312" w:hAnsi="楷体_GB2312" w:eastAsia="楷体_GB2312" w:cs="楷体_GB2312"/>
          <w:b/>
          <w:color w:val="auto"/>
          <w:kern w:val="2"/>
          <w:sz w:val="32"/>
          <w:szCs w:val="24"/>
          <w:highlight w:val="none"/>
          <w:lang w:val="en-US" w:eastAsia="zh-CN" w:bidi="ar-SA"/>
        </w:rPr>
        <w:t xml:space="preserve">条  </w:t>
      </w:r>
      <w:r>
        <w:rPr>
          <w:rFonts w:hint="eastAsia" w:ascii="仿宋_GB2312" w:hAnsi="仿宋_GB2312" w:eastAsia="仿宋_GB2312" w:cs="仿宋_GB2312"/>
          <w:b w:val="0"/>
          <w:bCs w:val="0"/>
          <w:color w:val="auto"/>
          <w:spacing w:val="-4"/>
          <w:kern w:val="0"/>
          <w:sz w:val="32"/>
          <w:szCs w:val="32"/>
        </w:rPr>
        <w:t>本</w:t>
      </w:r>
      <w:r>
        <w:rPr>
          <w:rFonts w:hint="eastAsia" w:ascii="仿宋_GB2312" w:hAnsi="仿宋_GB2312" w:eastAsia="仿宋_GB2312" w:cs="仿宋_GB2312"/>
          <w:b w:val="0"/>
          <w:bCs w:val="0"/>
          <w:color w:val="auto"/>
          <w:spacing w:val="-4"/>
          <w:kern w:val="0"/>
          <w:sz w:val="32"/>
          <w:szCs w:val="32"/>
          <w:lang w:val="en-US" w:eastAsia="zh-CN"/>
        </w:rPr>
        <w:t>措施</w:t>
      </w:r>
      <w:r>
        <w:rPr>
          <w:rFonts w:hint="eastAsia" w:ascii="仿宋_GB2312" w:hAnsi="仿宋_GB2312" w:eastAsia="仿宋_GB2312" w:cs="仿宋_GB2312"/>
          <w:b w:val="0"/>
          <w:bCs w:val="0"/>
          <w:color w:val="auto"/>
          <w:spacing w:val="-4"/>
          <w:kern w:val="0"/>
          <w:sz w:val="32"/>
          <w:szCs w:val="32"/>
        </w:rPr>
        <w:t>尚未涵盖但对辖区人才工作有重要影响的事项或上级部门有明确要求的事项，由相关单位</w:t>
      </w:r>
      <w:r>
        <w:rPr>
          <w:rFonts w:hint="eastAsia" w:ascii="仿宋_GB2312" w:hAnsi="仿宋_GB2312" w:eastAsia="仿宋_GB2312" w:cs="仿宋_GB2312"/>
          <w:b w:val="0"/>
          <w:bCs w:val="0"/>
          <w:color w:val="auto"/>
          <w:spacing w:val="-4"/>
          <w:kern w:val="0"/>
          <w:sz w:val="32"/>
          <w:szCs w:val="32"/>
          <w:lang w:val="en-US" w:eastAsia="zh-CN"/>
        </w:rPr>
        <w:t>报请区政府研究同意后</w:t>
      </w:r>
      <w:r>
        <w:rPr>
          <w:rFonts w:hint="eastAsia" w:ascii="仿宋_GB2312" w:hAnsi="仿宋_GB2312" w:eastAsia="仿宋_GB2312" w:cs="仿宋_GB2312"/>
          <w:b w:val="0"/>
          <w:bCs w:val="0"/>
          <w:color w:val="auto"/>
          <w:spacing w:val="-4"/>
          <w:kern w:val="0"/>
          <w:sz w:val="32"/>
          <w:szCs w:val="32"/>
        </w:rPr>
        <w:t>向主管部门提出申请，主管部门提出受理意见，按“一事一议”的方式报区自主创新产业发展专项资金领导小组会议审议。</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24"/>
        <w:textAlignment w:val="auto"/>
        <w:outlineLvl w:val="9"/>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b/>
          <w:color w:val="auto"/>
          <w:kern w:val="2"/>
          <w:sz w:val="32"/>
          <w:szCs w:val="24"/>
          <w:highlight w:val="none"/>
          <w:lang w:val="en-US" w:eastAsia="zh-CN" w:bidi="ar-SA"/>
        </w:rPr>
        <w:t>第</w:t>
      </w:r>
      <w:r>
        <w:rPr>
          <w:rFonts w:hint="default" w:ascii="楷体_GB2312" w:hAnsi="楷体_GB2312" w:eastAsia="楷体_GB2312" w:cs="楷体_GB2312"/>
          <w:b/>
          <w:color w:val="auto"/>
          <w:kern w:val="2"/>
          <w:sz w:val="32"/>
          <w:szCs w:val="24"/>
          <w:highlight w:val="none"/>
          <w:lang w:val="en-US" w:eastAsia="zh-CN" w:bidi="ar-SA"/>
        </w:rPr>
        <w:t>二十一</w:t>
      </w:r>
      <w:r>
        <w:rPr>
          <w:rFonts w:hint="eastAsia" w:ascii="楷体_GB2312" w:hAnsi="楷体_GB2312" w:eastAsia="楷体_GB2312" w:cs="楷体_GB2312"/>
          <w:b/>
          <w:color w:val="auto"/>
          <w:kern w:val="2"/>
          <w:sz w:val="32"/>
          <w:szCs w:val="24"/>
          <w:highlight w:val="none"/>
          <w:lang w:val="en-US" w:eastAsia="zh-CN" w:bidi="ar-SA"/>
        </w:rPr>
        <w:t>条</w:t>
      </w:r>
      <w:r>
        <w:rPr>
          <w:rFonts w:hint="eastAsia" w:ascii="仿宋_GB2312" w:hAnsi="仿宋_GB2312" w:eastAsia="仿宋_GB2312" w:cs="仿宋_GB2312"/>
          <w:b w:val="0"/>
          <w:bCs w:val="0"/>
          <w:color w:val="auto"/>
          <w:spacing w:val="-4"/>
          <w:kern w:val="0"/>
          <w:sz w:val="32"/>
          <w:szCs w:val="32"/>
        </w:rPr>
        <w:t xml:space="preserve"> </w:t>
      </w:r>
      <w:r>
        <w:rPr>
          <w:rFonts w:hint="eastAsia" w:ascii="仿宋_GB2312" w:hAnsi="仿宋_GB2312" w:cs="仿宋_GB2312"/>
          <w:b w:val="0"/>
          <w:bCs w:val="0"/>
          <w:color w:val="auto"/>
          <w:spacing w:val="-4"/>
          <w:kern w:val="0"/>
          <w:sz w:val="32"/>
          <w:szCs w:val="32"/>
          <w:lang w:val="en-US" w:eastAsia="zh-CN"/>
        </w:rPr>
        <w:t xml:space="preserve"> </w:t>
      </w:r>
      <w:r>
        <w:rPr>
          <w:rFonts w:hint="eastAsia" w:ascii="仿宋_GB2312" w:hAnsi="仿宋_GB2312" w:eastAsia="仿宋_GB2312" w:cs="仿宋_GB2312"/>
          <w:b w:val="0"/>
          <w:bCs w:val="0"/>
          <w:color w:val="auto"/>
          <w:spacing w:val="-4"/>
          <w:kern w:val="0"/>
          <w:sz w:val="32"/>
          <w:szCs w:val="32"/>
        </w:rPr>
        <w:t>本</w:t>
      </w:r>
      <w:r>
        <w:rPr>
          <w:rFonts w:hint="eastAsia" w:ascii="仿宋_GB2312" w:hAnsi="仿宋_GB2312" w:eastAsia="仿宋_GB2312" w:cs="仿宋_GB2312"/>
          <w:b w:val="0"/>
          <w:bCs w:val="0"/>
          <w:color w:val="auto"/>
          <w:spacing w:val="-4"/>
          <w:kern w:val="0"/>
          <w:sz w:val="32"/>
          <w:szCs w:val="32"/>
          <w:lang w:val="en-US" w:eastAsia="zh-CN"/>
        </w:rPr>
        <w:t>措施</w:t>
      </w:r>
      <w:r>
        <w:rPr>
          <w:rFonts w:hint="eastAsia" w:ascii="仿宋_GB2312" w:hAnsi="仿宋_GB2312" w:eastAsia="仿宋_GB2312" w:cs="仿宋_GB2312"/>
          <w:b w:val="0"/>
          <w:bCs w:val="0"/>
          <w:color w:val="auto"/>
          <w:spacing w:val="-4"/>
          <w:kern w:val="0"/>
          <w:sz w:val="32"/>
          <w:szCs w:val="32"/>
        </w:rPr>
        <w:t>自发布之日起施行，有效期三年。</w:t>
      </w:r>
    </w:p>
    <w:p>
      <w:pPr>
        <w:keepNext w:val="0"/>
        <w:keepLines w:val="0"/>
        <w:pageBreakBefore w:val="0"/>
        <w:widowControl w:val="0"/>
        <w:kinsoku/>
        <w:wordWrap/>
        <w:overflowPunct/>
        <w:topLinePunct w:val="0"/>
        <w:autoSpaceDE/>
        <w:autoSpaceDN w:val="0"/>
        <w:bidi w:val="0"/>
        <w:adjustRightInd/>
        <w:snapToGrid/>
        <w:spacing w:beforeAutospacing="0" w:afterAutospacing="0"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color w:val="auto"/>
          <w:kern w:val="2"/>
          <w:sz w:val="32"/>
          <w:szCs w:val="24"/>
          <w:highlight w:val="none"/>
          <w:lang w:val="en-US" w:eastAsia="zh-CN" w:bidi="ar-SA"/>
        </w:rPr>
        <w:t>第</w:t>
      </w:r>
      <w:r>
        <w:rPr>
          <w:rFonts w:hint="default" w:ascii="楷体_GB2312" w:hAnsi="楷体_GB2312" w:eastAsia="楷体_GB2312" w:cs="楷体_GB2312"/>
          <w:b/>
          <w:color w:val="auto"/>
          <w:kern w:val="2"/>
          <w:sz w:val="32"/>
          <w:szCs w:val="24"/>
          <w:highlight w:val="none"/>
          <w:lang w:val="en-US" w:eastAsia="zh-CN" w:bidi="ar-SA"/>
        </w:rPr>
        <w:t>二十二</w:t>
      </w:r>
      <w:r>
        <w:rPr>
          <w:rFonts w:hint="eastAsia" w:ascii="楷体_GB2312" w:hAnsi="楷体_GB2312" w:eastAsia="楷体_GB2312" w:cs="楷体_GB2312"/>
          <w:b/>
          <w:color w:val="auto"/>
          <w:kern w:val="2"/>
          <w:sz w:val="32"/>
          <w:szCs w:val="24"/>
          <w:highlight w:val="none"/>
          <w:lang w:val="en-US" w:eastAsia="zh-CN" w:bidi="ar-SA"/>
        </w:rPr>
        <w:t xml:space="preserve">条  </w:t>
      </w:r>
      <w:r>
        <w:rPr>
          <w:rFonts w:hint="eastAsia" w:ascii="仿宋_GB2312" w:hAnsi="仿宋_GB2312" w:eastAsia="仿宋_GB2312" w:cs="仿宋_GB2312"/>
          <w:b w:val="0"/>
          <w:bCs w:val="0"/>
          <w:color w:val="auto"/>
          <w:kern w:val="0"/>
          <w:sz w:val="32"/>
          <w:szCs w:val="32"/>
        </w:rPr>
        <w:t>本</w:t>
      </w:r>
      <w:r>
        <w:rPr>
          <w:rFonts w:hint="eastAsia" w:ascii="仿宋_GB2312" w:hAnsi="仿宋_GB2312" w:eastAsia="仿宋_GB2312" w:cs="仿宋_GB2312"/>
          <w:b w:val="0"/>
          <w:bCs w:val="0"/>
          <w:color w:val="auto"/>
          <w:kern w:val="0"/>
          <w:sz w:val="32"/>
          <w:szCs w:val="32"/>
          <w:lang w:val="en-US" w:eastAsia="zh-CN"/>
        </w:rPr>
        <w:t>措施</w:t>
      </w:r>
      <w:r>
        <w:rPr>
          <w:rFonts w:hint="eastAsia" w:ascii="仿宋_GB2312" w:hAnsi="仿宋_GB2312" w:eastAsia="仿宋_GB2312" w:cs="仿宋_GB2312"/>
          <w:b w:val="0"/>
          <w:bCs w:val="0"/>
          <w:color w:val="auto"/>
          <w:kern w:val="0"/>
          <w:sz w:val="32"/>
          <w:szCs w:val="32"/>
        </w:rPr>
        <w:t>由区人力资源局负责解释，</w:t>
      </w:r>
      <w:r>
        <w:rPr>
          <w:rFonts w:hint="eastAsia" w:ascii="仿宋_GB2312" w:hAnsi="仿宋_GB2312" w:eastAsia="仿宋_GB2312" w:cs="黑体"/>
          <w:b w:val="0"/>
          <w:bCs w:val="0"/>
          <w:kern w:val="2"/>
          <w:sz w:val="32"/>
          <w:szCs w:val="32"/>
          <w:lang w:eastAsia="zh-CN"/>
        </w:rPr>
        <w:t>具体解释工作由相关资金主管部门承担，</w:t>
      </w:r>
      <w:r>
        <w:rPr>
          <w:rFonts w:hint="eastAsia" w:ascii="仿宋_GB2312" w:hAnsi="仿宋_GB2312" w:eastAsia="仿宋_GB2312" w:cs="仿宋_GB2312"/>
          <w:b w:val="0"/>
          <w:bCs w:val="0"/>
          <w:color w:val="auto"/>
          <w:kern w:val="0"/>
          <w:sz w:val="32"/>
          <w:szCs w:val="32"/>
        </w:rPr>
        <w:t>并制定与本</w:t>
      </w:r>
      <w:r>
        <w:rPr>
          <w:rFonts w:hint="eastAsia" w:ascii="仿宋_GB2312" w:hAnsi="仿宋_GB2312" w:eastAsia="仿宋_GB2312" w:cs="仿宋_GB2312"/>
          <w:b w:val="0"/>
          <w:bCs w:val="0"/>
          <w:color w:val="auto"/>
          <w:kern w:val="0"/>
          <w:sz w:val="32"/>
          <w:szCs w:val="32"/>
          <w:lang w:val="en-US" w:eastAsia="zh-CN"/>
        </w:rPr>
        <w:t>措施</w:t>
      </w:r>
      <w:r>
        <w:rPr>
          <w:rFonts w:hint="eastAsia" w:ascii="仿宋_GB2312" w:hAnsi="仿宋_GB2312" w:eastAsia="仿宋_GB2312" w:cs="仿宋_GB2312"/>
          <w:b w:val="0"/>
          <w:bCs w:val="0"/>
          <w:color w:val="auto"/>
          <w:kern w:val="0"/>
          <w:sz w:val="32"/>
          <w:szCs w:val="32"/>
        </w:rPr>
        <w:t>相关的操作规程。</w:t>
      </w:r>
    </w:p>
    <w:p>
      <w:pPr>
        <w:keepNext w:val="0"/>
        <w:keepLines w:val="0"/>
        <w:pageBreakBefore w:val="0"/>
        <w:widowControl w:val="0"/>
        <w:wordWrap/>
        <w:topLinePunct w:val="0"/>
        <w:bidi w:val="0"/>
        <w:spacing w:beforeAutospacing="0" w:afterAutospacing="0" w:line="560" w:lineRule="exact"/>
        <w:ind w:left="0" w:leftChars="0"/>
      </w:pPr>
    </w:p>
    <w:p>
      <w:pPr>
        <w:pStyle w:val="5"/>
        <w:keepNext w:val="0"/>
        <w:keepLines w:val="0"/>
        <w:pageBreakBefore w:val="0"/>
        <w:widowControl w:val="0"/>
        <w:wordWrap/>
        <w:topLinePunct w:val="0"/>
        <w:bidi w:val="0"/>
        <w:spacing w:before="0" w:beforeAutospacing="0" w:after="0" w:afterAutospacing="0" w:line="560" w:lineRule="exact"/>
        <w:ind w:left="0" w:leftChars="0"/>
      </w:pPr>
    </w:p>
    <w:p>
      <w:pPr>
        <w:keepNext w:val="0"/>
        <w:keepLines w:val="0"/>
        <w:pageBreakBefore w:val="0"/>
        <w:widowControl w:val="0"/>
        <w:wordWrap/>
        <w:topLinePunct w:val="0"/>
        <w:bidi w:val="0"/>
        <w:spacing w:beforeAutospacing="0" w:afterAutospacing="0" w:line="560" w:lineRule="exact"/>
        <w:ind w:left="0" w:leftChars="0"/>
      </w:pPr>
    </w:p>
    <w:p>
      <w:pPr>
        <w:pStyle w:val="5"/>
        <w:keepNext w:val="0"/>
        <w:keepLines w:val="0"/>
        <w:pageBreakBefore w:val="0"/>
        <w:widowControl w:val="0"/>
        <w:wordWrap/>
        <w:topLinePunct w:val="0"/>
        <w:bidi w:val="0"/>
        <w:spacing w:before="0" w:beforeAutospacing="0" w:after="0" w:afterAutospacing="0" w:line="560" w:lineRule="exact"/>
        <w:ind w:left="0" w:leftChars="0"/>
      </w:pPr>
    </w:p>
    <w:p>
      <w:pPr>
        <w:keepNext w:val="0"/>
        <w:keepLines w:val="0"/>
        <w:pageBreakBefore w:val="0"/>
        <w:widowControl w:val="0"/>
        <w:wordWrap/>
        <w:topLinePunct w:val="0"/>
        <w:bidi w:val="0"/>
        <w:spacing w:beforeAutospacing="0" w:afterAutospacing="0" w:line="560" w:lineRule="exact"/>
        <w:ind w:left="0" w:leftChars="0"/>
      </w:pPr>
    </w:p>
    <w:p>
      <w:pPr>
        <w:pStyle w:val="5"/>
        <w:keepNext w:val="0"/>
        <w:keepLines w:val="0"/>
        <w:pageBreakBefore w:val="0"/>
        <w:widowControl w:val="0"/>
        <w:wordWrap/>
        <w:topLinePunct w:val="0"/>
        <w:bidi w:val="0"/>
        <w:spacing w:before="0" w:beforeAutospacing="0" w:after="0" w:afterAutospacing="0" w:line="560" w:lineRule="exact"/>
        <w:ind w:left="0" w:leftChars="0"/>
      </w:pPr>
    </w:p>
    <w:p>
      <w:pPr>
        <w:keepNext w:val="0"/>
        <w:keepLines w:val="0"/>
        <w:pageBreakBefore w:val="0"/>
        <w:widowControl w:val="0"/>
        <w:wordWrap/>
        <w:topLinePunct w:val="0"/>
        <w:bidi w:val="0"/>
        <w:spacing w:beforeAutospacing="0" w:afterAutospacing="0" w:line="560" w:lineRule="exact"/>
        <w:ind w:left="0" w:leftChars="0"/>
      </w:pPr>
    </w:p>
    <w:p>
      <w:pPr>
        <w:pStyle w:val="5"/>
        <w:keepNext w:val="0"/>
        <w:keepLines w:val="0"/>
        <w:pageBreakBefore w:val="0"/>
        <w:widowControl w:val="0"/>
        <w:wordWrap/>
        <w:topLinePunct w:val="0"/>
        <w:bidi w:val="0"/>
        <w:spacing w:before="0" w:beforeAutospacing="0" w:after="0" w:afterAutospacing="0" w:line="560" w:lineRule="exact"/>
        <w:ind w:left="0" w:leftChars="0"/>
      </w:pPr>
    </w:p>
    <w:p>
      <w:pPr>
        <w:keepNext w:val="0"/>
        <w:keepLines w:val="0"/>
        <w:pageBreakBefore w:val="0"/>
        <w:widowControl w:val="0"/>
        <w:wordWrap/>
        <w:topLinePunct w:val="0"/>
        <w:bidi w:val="0"/>
        <w:spacing w:beforeAutospacing="0" w:afterAutospacing="0" w:line="560" w:lineRule="exact"/>
        <w:ind w:left="0" w:leftChars="0"/>
      </w:pPr>
    </w:p>
    <w:p>
      <w:pPr>
        <w:pStyle w:val="5"/>
        <w:keepNext w:val="0"/>
        <w:keepLines w:val="0"/>
        <w:pageBreakBefore w:val="0"/>
        <w:widowControl w:val="0"/>
        <w:wordWrap/>
        <w:topLinePunct w:val="0"/>
        <w:bidi w:val="0"/>
        <w:spacing w:before="0" w:beforeAutospacing="0" w:after="0" w:afterAutospacing="0" w:line="560" w:lineRule="exact"/>
        <w:ind w:left="0" w:leftChars="0"/>
      </w:pPr>
    </w:p>
    <w:p>
      <w:pPr>
        <w:keepNext w:val="0"/>
        <w:keepLines w:val="0"/>
        <w:pageBreakBefore w:val="0"/>
        <w:widowControl w:val="0"/>
        <w:wordWrap/>
        <w:topLinePunct w:val="0"/>
        <w:bidi w:val="0"/>
        <w:spacing w:beforeAutospacing="0" w:afterAutospacing="0" w:line="560" w:lineRule="exact"/>
        <w:ind w:left="0" w:leftChars="0"/>
      </w:pPr>
    </w:p>
    <w:p>
      <w:pPr>
        <w:pStyle w:val="5"/>
        <w:keepNext w:val="0"/>
        <w:keepLines w:val="0"/>
        <w:pageBreakBefore w:val="0"/>
        <w:widowControl w:val="0"/>
        <w:wordWrap/>
        <w:topLinePunct w:val="0"/>
        <w:bidi w:val="0"/>
        <w:spacing w:before="0" w:beforeAutospacing="0" w:after="0" w:afterAutospacing="0" w:line="560" w:lineRule="exact"/>
        <w:ind w:left="0" w:leftChars="0"/>
      </w:pPr>
    </w:p>
    <w:p>
      <w:pPr>
        <w:keepNext w:val="0"/>
        <w:keepLines w:val="0"/>
        <w:pageBreakBefore w:val="0"/>
        <w:widowControl w:val="0"/>
        <w:wordWrap/>
        <w:topLinePunct w:val="0"/>
        <w:bidi w:val="0"/>
        <w:spacing w:beforeAutospacing="0" w:afterAutospacing="0" w:line="560" w:lineRule="exact"/>
        <w:ind w:left="0" w:leftChars="0"/>
      </w:pPr>
    </w:p>
    <w:p>
      <w:pPr>
        <w:pStyle w:val="2"/>
        <w:keepNext w:val="0"/>
        <w:keepLines w:val="0"/>
        <w:pageBreakBefore w:val="0"/>
        <w:widowControl w:val="0"/>
        <w:wordWrap/>
        <w:topLinePunct w:val="0"/>
        <w:bidi w:val="0"/>
        <w:spacing w:before="0" w:beforeLines="0" w:beforeAutospacing="0" w:after="0" w:afterLines="0" w:afterAutospacing="0" w:line="560" w:lineRule="exact"/>
        <w:ind w:left="0" w:leftChars="0"/>
      </w:pPr>
    </w:p>
    <w:p/>
    <w:p>
      <w:pPr>
        <w:pStyle w:val="2"/>
      </w:pPr>
    </w:p>
    <w:p/>
    <w:p>
      <w:pPr>
        <w:rPr>
          <w:rFonts w:hint="eastAsia" w:eastAsia="方正小标宋简体" w:cs="Times New Roman"/>
          <w:color w:val="auto"/>
          <w:sz w:val="44"/>
          <w:szCs w:val="44"/>
          <w:highlight w:val="none"/>
          <w:lang w:val="en-US" w:eastAsia="zh-CN"/>
        </w:rPr>
      </w:pPr>
      <w:r>
        <w:br w:type="page"/>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center"/>
        <w:textAlignment w:val="auto"/>
        <w:outlineLvl w:val="9"/>
        <w:rPr>
          <w:rFonts w:hint="eastAsia" w:eastAsia="方正小标宋简体" w:cs="Times New Roman"/>
          <w:color w:val="auto"/>
          <w:sz w:val="44"/>
          <w:szCs w:val="44"/>
          <w:highlight w:val="none"/>
          <w:lang w:val="en-US" w:eastAsia="zh-CN"/>
        </w:rPr>
      </w:pPr>
      <w:r>
        <w:rPr>
          <w:rFonts w:hint="eastAsia" w:eastAsia="方正小标宋简体" w:cs="Times New Roman"/>
          <w:color w:val="auto"/>
          <w:sz w:val="44"/>
          <w:szCs w:val="44"/>
          <w:highlight w:val="none"/>
          <w:lang w:val="en-US" w:eastAsia="zh-CN"/>
        </w:rPr>
        <w:t>南山区企业融资扶持措施</w:t>
      </w:r>
    </w:p>
    <w:p>
      <w:pPr>
        <w:pStyle w:val="2"/>
        <w:keepNext w:val="0"/>
        <w:keepLines w:val="0"/>
        <w:pageBreakBefore w:val="0"/>
        <w:widowControl w:val="0"/>
        <w:wordWrap/>
        <w:topLinePunct w:val="0"/>
        <w:bidi w:val="0"/>
        <w:spacing w:before="0" w:beforeLines="0" w:beforeAutospacing="0" w:after="0" w:afterLines="0" w:afterAutospacing="0" w:line="560" w:lineRule="exact"/>
        <w:ind w:left="0" w:leftChars="0"/>
        <w:rPr>
          <w:rFonts w:hint="eastAsia" w:ascii="宋体" w:hAnsi="宋体" w:eastAsia="宋体" w:cs="宋体"/>
          <w:b/>
          <w:bCs/>
          <w:sz w:val="36"/>
          <w:szCs w:val="36"/>
        </w:rPr>
      </w:pPr>
      <w:r>
        <w:rPr>
          <w:rFonts w:hint="eastAsia" w:ascii="宋体" w:hAnsi="宋体" w:eastAsia="宋体" w:cs="宋体"/>
          <w:b/>
          <w:bCs/>
          <w:color w:val="auto"/>
          <w:sz w:val="36"/>
          <w:szCs w:val="36"/>
          <w:highlight w:val="none"/>
          <w:lang w:val="en-US" w:eastAsia="zh-CN"/>
        </w:rPr>
        <w:t>（征求意见稿）</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rPr>
          <w:sz w:val="32"/>
          <w:szCs w:val="32"/>
          <w:highlight w:val="none"/>
        </w:rPr>
      </w:pP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textAlignment w:val="auto"/>
        <w:rPr>
          <w:color w:val="auto"/>
          <w:sz w:val="32"/>
          <w:szCs w:val="40"/>
          <w:highlight w:val="none"/>
        </w:rPr>
      </w:pPr>
      <w:bookmarkStart w:id="1" w:name="_Toc15464"/>
      <w:bookmarkStart w:id="2" w:name="_Toc25351"/>
      <w:bookmarkStart w:id="3" w:name="_Toc14867"/>
      <w:bookmarkStart w:id="4" w:name="_Toc32157"/>
      <w:bookmarkStart w:id="5" w:name="_Toc19777"/>
      <w:bookmarkStart w:id="6" w:name="_Toc19469"/>
      <w:bookmarkStart w:id="7" w:name="_Toc5400"/>
      <w:bookmarkStart w:id="8" w:name="_Toc10805"/>
      <w:bookmarkStart w:id="9" w:name="_Toc16221"/>
      <w:bookmarkStart w:id="10" w:name="_Toc12056"/>
      <w:r>
        <w:rPr>
          <w:rFonts w:hint="eastAsia"/>
          <w:color w:val="auto"/>
          <w:sz w:val="32"/>
          <w:szCs w:val="40"/>
          <w:highlight w:val="none"/>
        </w:rPr>
        <w:t>第一章  总  则</w:t>
      </w:r>
      <w:bookmarkEnd w:id="1"/>
      <w:bookmarkEnd w:id="2"/>
      <w:bookmarkEnd w:id="3"/>
      <w:bookmarkEnd w:id="4"/>
      <w:bookmarkEnd w:id="5"/>
      <w:bookmarkEnd w:id="6"/>
      <w:bookmarkEnd w:id="7"/>
      <w:bookmarkEnd w:id="8"/>
      <w:bookmarkEnd w:id="9"/>
      <w:bookmarkEnd w:id="10"/>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textAlignment w:val="auto"/>
        <w:rPr>
          <w:rFonts w:hint="eastAsia" w:ascii="仿宋_GB2312" w:hAnsi="仿宋_GB2312" w:eastAsia="仿宋_GB2312" w:cs="仿宋_GB2312"/>
          <w:b/>
          <w:bCs/>
          <w:color w:val="auto"/>
          <w:sz w:val="32"/>
          <w:szCs w:val="40"/>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textAlignment w:val="auto"/>
        <w:rPr>
          <w:rFonts w:hint="eastAsia" w:ascii="仿宋_GB2312" w:hAnsi="仿宋_GB2312" w:eastAsia="仿宋_GB2312" w:cs="仿宋_GB2312"/>
          <w:color w:val="auto"/>
          <w:sz w:val="32"/>
          <w:szCs w:val="40"/>
          <w:highlight w:val="none"/>
        </w:rPr>
      </w:pPr>
      <w:r>
        <w:rPr>
          <w:rFonts w:hint="eastAsia" w:ascii="仿宋_GB2312" w:hAnsi="仿宋_GB2312" w:eastAsia="仿宋_GB2312" w:cs="仿宋_GB2312"/>
          <w:b/>
          <w:bCs/>
          <w:color w:val="auto"/>
          <w:sz w:val="32"/>
          <w:szCs w:val="40"/>
          <w:highlight w:val="none"/>
        </w:rPr>
        <w:t>第一条</w:t>
      </w:r>
      <w:r>
        <w:rPr>
          <w:rFonts w:hint="eastAsia" w:ascii="仿宋_GB2312" w:hAnsi="仿宋_GB2312" w:eastAsia="仿宋_GB2312" w:cs="仿宋_GB2312"/>
          <w:color w:val="auto"/>
          <w:sz w:val="32"/>
          <w:szCs w:val="40"/>
          <w:highlight w:val="none"/>
        </w:rPr>
        <w:t xml:space="preserve">  为促进</w:t>
      </w:r>
      <w:r>
        <w:rPr>
          <w:rFonts w:hint="default" w:ascii="仿宋_GB2312" w:hAnsi="仿宋_GB2312" w:eastAsia="仿宋_GB2312" w:cs="仿宋_GB2312"/>
          <w:color w:val="auto"/>
          <w:sz w:val="32"/>
          <w:szCs w:val="40"/>
          <w:highlight w:val="none"/>
        </w:rPr>
        <w:t>南山</w:t>
      </w:r>
      <w:r>
        <w:rPr>
          <w:rFonts w:hint="eastAsia" w:ascii="仿宋_GB2312" w:hAnsi="仿宋_GB2312" w:eastAsia="仿宋_GB2312" w:cs="仿宋_GB2312"/>
          <w:color w:val="auto"/>
          <w:sz w:val="32"/>
          <w:szCs w:val="40"/>
          <w:highlight w:val="none"/>
        </w:rPr>
        <w:t>区经济发展方式转变，推动产业结构优化升级，</w:t>
      </w:r>
      <w:r>
        <w:rPr>
          <w:rFonts w:hint="eastAsia" w:ascii="仿宋_GB2312" w:hAnsi="仿宋_GB2312" w:eastAsia="仿宋_GB2312" w:cs="仿宋_GB2312"/>
          <w:color w:val="auto"/>
          <w:sz w:val="32"/>
          <w:szCs w:val="40"/>
          <w:highlight w:val="none"/>
          <w:lang w:eastAsia="zh-CN"/>
        </w:rPr>
        <w:t>切实满足企业多元化融资需求</w:t>
      </w:r>
      <w:r>
        <w:rPr>
          <w:rFonts w:hint="eastAsia" w:ascii="仿宋_GB2312" w:hAnsi="仿宋_GB2312" w:eastAsia="仿宋_GB2312" w:cs="仿宋_GB2312"/>
          <w:color w:val="auto"/>
          <w:sz w:val="32"/>
          <w:szCs w:val="40"/>
          <w:highlight w:val="none"/>
        </w:rPr>
        <w:t>，根据《南山区自主创新产业发展专项资金管理办法》</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制定本措施。</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textAlignment w:val="auto"/>
        <w:rPr>
          <w:rFonts w:hint="eastAsia" w:ascii="仿宋_GB2312" w:hAnsi="仿宋_GB2312" w:eastAsia="仿宋_GB2312" w:cs="仿宋_GB2312"/>
          <w:color w:val="auto"/>
          <w:sz w:val="32"/>
          <w:szCs w:val="40"/>
          <w:highlight w:val="none"/>
        </w:rPr>
      </w:pPr>
      <w:r>
        <w:rPr>
          <w:rFonts w:hint="eastAsia" w:ascii="仿宋_GB2312" w:hAnsi="仿宋_GB2312" w:eastAsia="仿宋_GB2312" w:cs="仿宋_GB2312"/>
          <w:b/>
          <w:bCs/>
          <w:color w:val="auto"/>
          <w:sz w:val="32"/>
          <w:szCs w:val="40"/>
          <w:highlight w:val="none"/>
        </w:rPr>
        <w:t>第二条</w:t>
      </w:r>
      <w:r>
        <w:rPr>
          <w:rFonts w:hint="eastAsia" w:ascii="仿宋_GB2312" w:hAnsi="仿宋_GB2312" w:eastAsia="仿宋_GB2312" w:cs="仿宋_GB2312"/>
          <w:color w:val="auto"/>
          <w:sz w:val="32"/>
          <w:szCs w:val="40"/>
          <w:highlight w:val="none"/>
        </w:rPr>
        <w:t xml:space="preserve">  本措施支持范围包括</w:t>
      </w:r>
      <w:r>
        <w:rPr>
          <w:rFonts w:hint="eastAsia" w:ascii="仿宋_GB2312" w:hAnsi="仿宋_GB2312" w:eastAsia="仿宋_GB2312" w:cs="仿宋_GB2312"/>
          <w:color w:val="auto"/>
          <w:sz w:val="32"/>
          <w:szCs w:val="40"/>
          <w:highlight w:val="none"/>
          <w:lang w:val="en-US" w:eastAsia="zh-CN"/>
        </w:rPr>
        <w:t>但不限于支持企业降低融资成本</w:t>
      </w:r>
      <w:r>
        <w:rPr>
          <w:rFonts w:hint="eastAsia" w:ascii="仿宋_GB2312" w:hAnsi="仿宋_GB2312" w:eastAsia="仿宋_GB2312" w:cs="仿宋_GB2312"/>
          <w:color w:val="auto"/>
          <w:sz w:val="32"/>
          <w:szCs w:val="40"/>
          <w:highlight w:val="none"/>
        </w:rPr>
        <w:t>、</w:t>
      </w:r>
      <w:r>
        <w:rPr>
          <w:rFonts w:hint="eastAsia" w:ascii="仿宋_GB2312" w:hAnsi="仿宋_GB2312" w:eastAsia="仿宋_GB2312" w:cs="仿宋_GB2312"/>
          <w:color w:val="auto"/>
          <w:sz w:val="32"/>
          <w:szCs w:val="40"/>
          <w:highlight w:val="none"/>
          <w:lang w:val="en-US" w:eastAsia="zh-CN"/>
        </w:rPr>
        <w:t>支持企业股权融资</w:t>
      </w:r>
      <w:r>
        <w:rPr>
          <w:rFonts w:hint="eastAsia" w:ascii="仿宋_GB2312" w:hAnsi="仿宋_GB2312" w:eastAsia="仿宋_GB2312" w:cs="仿宋_GB2312"/>
          <w:color w:val="auto"/>
          <w:sz w:val="32"/>
          <w:szCs w:val="40"/>
          <w:highlight w:val="none"/>
        </w:rPr>
        <w:t>、</w:t>
      </w:r>
      <w:r>
        <w:rPr>
          <w:rFonts w:hint="eastAsia" w:ascii="仿宋_GB2312" w:hAnsi="仿宋_GB2312" w:eastAsia="仿宋_GB2312" w:cs="仿宋_GB2312"/>
          <w:color w:val="auto"/>
          <w:sz w:val="32"/>
          <w:szCs w:val="40"/>
          <w:highlight w:val="none"/>
          <w:lang w:val="en-US" w:eastAsia="zh-CN"/>
        </w:rPr>
        <w:t>支持企业上市融资三</w:t>
      </w:r>
      <w:r>
        <w:rPr>
          <w:rFonts w:hint="eastAsia" w:ascii="仿宋_GB2312" w:hAnsi="仿宋_GB2312" w:eastAsia="仿宋_GB2312" w:cs="仿宋_GB2312"/>
          <w:color w:val="auto"/>
          <w:sz w:val="32"/>
          <w:szCs w:val="40"/>
          <w:highlight w:val="none"/>
        </w:rPr>
        <w:t>大部分，每部分均有相应扶持政策。各部分资金量在资金总量控制范围内可适当调整。</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textAlignment w:val="auto"/>
        <w:rPr>
          <w:rFonts w:hint="eastAsia" w:ascii="仿宋_GB2312" w:hAnsi="仿宋_GB2312" w:eastAsia="仿宋_GB2312" w:cs="仿宋_GB2312"/>
          <w:color w:val="auto"/>
          <w:sz w:val="32"/>
          <w:szCs w:val="40"/>
          <w:highlight w:val="none"/>
        </w:rPr>
      </w:pPr>
      <w:r>
        <w:rPr>
          <w:rFonts w:hint="eastAsia" w:ascii="仿宋_GB2312" w:hAnsi="仿宋_GB2312" w:eastAsia="仿宋_GB2312" w:cs="仿宋_GB2312"/>
          <w:b/>
          <w:bCs/>
          <w:color w:val="auto"/>
          <w:sz w:val="32"/>
          <w:szCs w:val="40"/>
          <w:highlight w:val="none"/>
        </w:rPr>
        <w:t>第三条</w:t>
      </w:r>
      <w:r>
        <w:rPr>
          <w:rFonts w:hint="eastAsia" w:ascii="仿宋_GB2312" w:hAnsi="仿宋_GB2312" w:eastAsia="仿宋_GB2312" w:cs="仿宋_GB2312"/>
          <w:color w:val="auto"/>
          <w:sz w:val="32"/>
          <w:szCs w:val="40"/>
          <w:highlight w:val="none"/>
        </w:rPr>
        <w:t xml:space="preserve">  </w:t>
      </w:r>
      <w:r>
        <w:rPr>
          <w:rFonts w:hint="eastAsia" w:ascii="仿宋_GB2312" w:hAnsi="仿宋_GB2312" w:eastAsia="仿宋_GB2312" w:cs="仿宋_GB2312"/>
          <w:color w:val="auto"/>
          <w:sz w:val="32"/>
          <w:szCs w:val="40"/>
          <w:highlight w:val="none"/>
          <w:lang w:val="en-US" w:eastAsia="zh-CN"/>
        </w:rPr>
        <w:t>区科技创新局、区工业和信息化局（</w:t>
      </w:r>
      <w:r>
        <w:rPr>
          <w:rFonts w:hint="eastAsia" w:ascii="仿宋_GB2312" w:hAnsi="仿宋_GB2312" w:eastAsia="仿宋_GB2312" w:cs="仿宋_GB2312"/>
          <w:color w:val="auto"/>
          <w:sz w:val="32"/>
          <w:szCs w:val="40"/>
          <w:highlight w:val="none"/>
        </w:rPr>
        <w:t>区</w:t>
      </w:r>
      <w:r>
        <w:rPr>
          <w:rFonts w:hint="eastAsia" w:ascii="仿宋_GB2312" w:hAnsi="仿宋_GB2312" w:eastAsia="仿宋_GB2312" w:cs="仿宋_GB2312"/>
          <w:color w:val="auto"/>
          <w:sz w:val="32"/>
          <w:szCs w:val="40"/>
          <w:highlight w:val="none"/>
          <w:lang w:val="en-US" w:eastAsia="zh-CN"/>
        </w:rPr>
        <w:t>金融发展服务中心）</w:t>
      </w:r>
      <w:r>
        <w:rPr>
          <w:rFonts w:hint="eastAsia" w:ascii="仿宋_GB2312" w:hAnsi="仿宋_GB2312" w:eastAsia="仿宋_GB2312" w:cs="仿宋_GB2312"/>
          <w:color w:val="auto"/>
          <w:sz w:val="32"/>
          <w:szCs w:val="40"/>
          <w:highlight w:val="none"/>
        </w:rPr>
        <w:t>为本措施的主管部门，区自主创新产业发展专项资金领导小组、</w:t>
      </w:r>
      <w:r>
        <w:rPr>
          <w:rFonts w:hint="eastAsia" w:ascii="仿宋_GB2312" w:hAnsi="仿宋_GB2312" w:eastAsia="仿宋_GB2312" w:cs="仿宋_GB2312"/>
          <w:color w:val="auto"/>
          <w:sz w:val="32"/>
          <w:szCs w:val="40"/>
          <w:highlight w:val="none"/>
          <w:lang w:val="en-US" w:eastAsia="zh-CN"/>
        </w:rPr>
        <w:t>区科技创新局</w:t>
      </w:r>
      <w:r>
        <w:rPr>
          <w:rFonts w:hint="eastAsia" w:ascii="仿宋_GB2312" w:hAnsi="仿宋_GB2312" w:eastAsia="仿宋_GB2312" w:cs="仿宋_GB2312"/>
          <w:color w:val="auto"/>
          <w:sz w:val="32"/>
          <w:szCs w:val="40"/>
          <w:highlight w:val="none"/>
        </w:rPr>
        <w:t>分项资金</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lang w:val="en-US" w:eastAsia="zh-CN"/>
        </w:rPr>
        <w:t>区工业和信息化局</w:t>
      </w:r>
      <w:r>
        <w:rPr>
          <w:rFonts w:hint="eastAsia" w:ascii="仿宋_GB2312" w:hAnsi="仿宋_GB2312" w:eastAsia="仿宋_GB2312" w:cs="仿宋_GB2312"/>
          <w:color w:val="auto"/>
          <w:sz w:val="32"/>
          <w:szCs w:val="40"/>
          <w:highlight w:val="none"/>
        </w:rPr>
        <w:t>分项资金审批专责小组为本措施的决策审批机构。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textAlignment w:val="auto"/>
        <w:rPr>
          <w:rFonts w:hint="eastAsia" w:ascii="仿宋_GB2312" w:hAnsi="仿宋_GB2312" w:eastAsia="仿宋_GB2312" w:cs="仿宋_GB2312"/>
          <w:color w:val="auto"/>
          <w:sz w:val="32"/>
          <w:szCs w:val="40"/>
          <w:highlight w:val="none"/>
        </w:rPr>
      </w:pPr>
      <w:r>
        <w:rPr>
          <w:rFonts w:hint="eastAsia" w:ascii="仿宋_GB2312" w:hAnsi="仿宋_GB2312" w:eastAsia="仿宋_GB2312" w:cs="仿宋_GB2312"/>
          <w:b/>
          <w:bCs/>
          <w:color w:val="auto"/>
          <w:sz w:val="32"/>
          <w:szCs w:val="40"/>
          <w:highlight w:val="none"/>
        </w:rPr>
        <w:t>第四条</w:t>
      </w:r>
      <w:r>
        <w:rPr>
          <w:rFonts w:hint="eastAsia" w:ascii="仿宋_GB2312" w:hAnsi="仿宋_GB2312" w:eastAsia="仿宋_GB2312" w:cs="仿宋_GB2312"/>
          <w:color w:val="auto"/>
          <w:sz w:val="32"/>
          <w:szCs w:val="40"/>
          <w:highlight w:val="none"/>
        </w:rPr>
        <w:t xml:space="preserve">  本措施申报主体原则上应符合《南山区自主创新产业发展专项资金管理办法》规定的</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注册地</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独立法人</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区级地方财力贡献</w:t>
      </w:r>
      <w:r>
        <w:rPr>
          <w:rFonts w:hint="eastAsia" w:ascii="仿宋_GB2312" w:hAnsi="仿宋_GB2312" w:eastAsia="仿宋_GB2312" w:cs="仿宋_GB2312"/>
          <w:color w:val="auto"/>
          <w:sz w:val="32"/>
          <w:szCs w:val="40"/>
          <w:highlight w:val="none"/>
          <w:lang w:eastAsia="zh-CN"/>
        </w:rPr>
        <w:t>”“每家单位</w:t>
      </w:r>
      <w:r>
        <w:rPr>
          <w:rFonts w:hint="eastAsia" w:ascii="仿宋_GB2312" w:hAnsi="仿宋_GB2312" w:eastAsia="仿宋_GB2312" w:cs="仿宋_GB2312"/>
          <w:color w:val="auto"/>
          <w:sz w:val="32"/>
          <w:szCs w:val="40"/>
          <w:highlight w:val="none"/>
          <w:shd w:val="clear" w:color="auto" w:fill="auto"/>
        </w:rPr>
        <w:t>单个扶持项目资助金额原则上不得超过1000万元</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等相关条件，以下情形除外：</w:t>
      </w:r>
    </w:p>
    <w:p>
      <w:pPr>
        <w:keepNext w:val="0"/>
        <w:keepLines w:val="0"/>
        <w:pageBreakBefore w:val="0"/>
        <w:widowControl w:val="0"/>
        <w:wordWrap/>
        <w:topLinePunct w:val="0"/>
        <w:bidi w:val="0"/>
        <w:spacing w:beforeAutospacing="0" w:afterAutospacing="0" w:line="560" w:lineRule="exact"/>
        <w:ind w:left="0" w:leftChars="0" w:firstLine="640"/>
        <w:rPr>
          <w:rFonts w:hint="default" w:ascii="仿宋_GB2312" w:hAnsi="仿宋_GB2312" w:eastAsia="仿宋_GB2312" w:cs="仿宋_GB2312"/>
          <w:color w:val="auto"/>
          <w:sz w:val="32"/>
          <w:szCs w:val="40"/>
          <w:highlight w:val="none"/>
        </w:rPr>
      </w:pPr>
      <w:r>
        <w:rPr>
          <w:rFonts w:hint="eastAsia" w:ascii="仿宋_GB2312" w:hAnsi="仿宋_GB2312" w:eastAsia="仿宋_GB2312" w:cs="仿宋_GB2312"/>
          <w:color w:val="auto"/>
          <w:sz w:val="32"/>
          <w:szCs w:val="40"/>
          <w:highlight w:val="none"/>
        </w:rPr>
        <w:t>（</w:t>
      </w:r>
      <w:r>
        <w:rPr>
          <w:rFonts w:hint="eastAsia" w:ascii="仿宋_GB2312" w:hAnsi="仿宋_GB2312" w:eastAsia="仿宋_GB2312" w:cs="仿宋_GB2312"/>
          <w:color w:val="auto"/>
          <w:sz w:val="32"/>
          <w:szCs w:val="40"/>
          <w:highlight w:val="none"/>
          <w:lang w:eastAsia="zh-CN"/>
        </w:rPr>
        <w:t>一</w:t>
      </w:r>
      <w:r>
        <w:rPr>
          <w:rFonts w:hint="eastAsia" w:ascii="仿宋_GB2312" w:hAnsi="仿宋_GB2312" w:eastAsia="仿宋_GB2312" w:cs="仿宋_GB2312"/>
          <w:color w:val="auto"/>
          <w:sz w:val="32"/>
          <w:szCs w:val="40"/>
          <w:highlight w:val="none"/>
        </w:rPr>
        <w:t>）</w:t>
      </w:r>
      <w:r>
        <w:rPr>
          <w:rFonts w:hint="default" w:ascii="仿宋_GB2312" w:hAnsi="仿宋_GB2312" w:eastAsia="仿宋_GB2312" w:cs="仿宋_GB2312"/>
          <w:color w:val="auto"/>
          <w:sz w:val="32"/>
          <w:szCs w:val="40"/>
          <w:highlight w:val="none"/>
        </w:rPr>
        <w:t>申请第</w:t>
      </w:r>
      <w:r>
        <w:rPr>
          <w:rFonts w:hint="eastAsia" w:ascii="仿宋_GB2312" w:hAnsi="仿宋_GB2312" w:eastAsia="仿宋_GB2312" w:cs="仿宋_GB2312"/>
          <w:color w:val="auto"/>
          <w:sz w:val="32"/>
          <w:szCs w:val="40"/>
          <w:highlight w:val="none"/>
          <w:lang w:eastAsia="zh-CN"/>
        </w:rPr>
        <w:t>五</w:t>
      </w:r>
      <w:r>
        <w:rPr>
          <w:rFonts w:hint="default" w:ascii="仿宋_GB2312" w:hAnsi="仿宋_GB2312" w:eastAsia="仿宋_GB2312" w:cs="仿宋_GB2312"/>
          <w:color w:val="auto"/>
          <w:sz w:val="32"/>
          <w:szCs w:val="40"/>
          <w:highlight w:val="none"/>
        </w:rPr>
        <w:t>条第一款及第二款，第</w:t>
      </w:r>
      <w:r>
        <w:rPr>
          <w:rFonts w:hint="eastAsia" w:ascii="仿宋_GB2312" w:hAnsi="仿宋_GB2312" w:eastAsia="仿宋_GB2312" w:cs="仿宋_GB2312"/>
          <w:color w:val="auto"/>
          <w:sz w:val="32"/>
          <w:szCs w:val="40"/>
          <w:highlight w:val="none"/>
          <w:lang w:eastAsia="zh-CN"/>
        </w:rPr>
        <w:t>六</w:t>
      </w:r>
      <w:r>
        <w:rPr>
          <w:rFonts w:hint="default" w:ascii="仿宋_GB2312" w:hAnsi="仿宋_GB2312" w:eastAsia="仿宋_GB2312" w:cs="仿宋_GB2312"/>
          <w:color w:val="auto"/>
          <w:sz w:val="32"/>
          <w:szCs w:val="40"/>
          <w:highlight w:val="none"/>
        </w:rPr>
        <w:t>条第一款（知识产证券化融资金额1000万元及以下）及第二款、第</w:t>
      </w:r>
      <w:r>
        <w:rPr>
          <w:rFonts w:hint="eastAsia" w:ascii="仿宋_GB2312" w:hAnsi="仿宋_GB2312" w:eastAsia="仿宋_GB2312" w:cs="仿宋_GB2312"/>
          <w:color w:val="auto"/>
          <w:sz w:val="32"/>
          <w:szCs w:val="40"/>
          <w:highlight w:val="none"/>
          <w:lang w:eastAsia="zh-CN"/>
        </w:rPr>
        <w:t>七</w:t>
      </w:r>
      <w:r>
        <w:rPr>
          <w:rFonts w:hint="default" w:ascii="仿宋_GB2312" w:hAnsi="仿宋_GB2312" w:eastAsia="仿宋_GB2312" w:cs="仿宋_GB2312"/>
          <w:color w:val="auto"/>
          <w:sz w:val="32"/>
          <w:szCs w:val="40"/>
          <w:highlight w:val="none"/>
        </w:rPr>
        <w:t>条第一款、第</w:t>
      </w:r>
      <w:r>
        <w:rPr>
          <w:rFonts w:hint="eastAsia" w:ascii="仿宋_GB2312" w:hAnsi="仿宋_GB2312" w:eastAsia="仿宋_GB2312" w:cs="仿宋_GB2312"/>
          <w:color w:val="auto"/>
          <w:sz w:val="32"/>
          <w:szCs w:val="40"/>
          <w:highlight w:val="none"/>
          <w:lang w:eastAsia="zh-CN"/>
        </w:rPr>
        <w:t>九</w:t>
      </w:r>
      <w:r>
        <w:rPr>
          <w:rFonts w:hint="default" w:ascii="仿宋_GB2312" w:hAnsi="仿宋_GB2312" w:eastAsia="仿宋_GB2312" w:cs="仿宋_GB2312"/>
          <w:color w:val="auto"/>
          <w:sz w:val="32"/>
          <w:szCs w:val="40"/>
          <w:highlight w:val="none"/>
        </w:rPr>
        <w:t>条、第十</w:t>
      </w:r>
      <w:r>
        <w:rPr>
          <w:rFonts w:hint="eastAsia" w:ascii="仿宋_GB2312" w:hAnsi="仿宋_GB2312" w:eastAsia="仿宋_GB2312" w:cs="仿宋_GB2312"/>
          <w:color w:val="auto"/>
          <w:sz w:val="32"/>
          <w:szCs w:val="40"/>
          <w:highlight w:val="none"/>
          <w:lang w:eastAsia="zh-CN"/>
        </w:rPr>
        <w:t>一</w:t>
      </w:r>
      <w:r>
        <w:rPr>
          <w:rFonts w:hint="default" w:ascii="仿宋_GB2312" w:hAnsi="仿宋_GB2312" w:eastAsia="仿宋_GB2312" w:cs="仿宋_GB2312"/>
          <w:color w:val="auto"/>
          <w:sz w:val="32"/>
          <w:szCs w:val="40"/>
          <w:highlight w:val="none"/>
        </w:rPr>
        <w:t>条至第十</w:t>
      </w:r>
      <w:r>
        <w:rPr>
          <w:rFonts w:hint="eastAsia" w:ascii="仿宋_GB2312" w:hAnsi="仿宋_GB2312" w:eastAsia="仿宋_GB2312" w:cs="仿宋_GB2312"/>
          <w:color w:val="auto"/>
          <w:sz w:val="32"/>
          <w:szCs w:val="40"/>
          <w:highlight w:val="none"/>
          <w:lang w:eastAsia="zh-CN"/>
        </w:rPr>
        <w:t>三</w:t>
      </w:r>
      <w:r>
        <w:rPr>
          <w:rFonts w:hint="default" w:ascii="仿宋_GB2312" w:hAnsi="仿宋_GB2312" w:eastAsia="仿宋_GB2312" w:cs="仿宋_GB2312"/>
          <w:color w:val="auto"/>
          <w:sz w:val="32"/>
          <w:szCs w:val="40"/>
          <w:highlight w:val="none"/>
        </w:rPr>
        <w:t>条、第十</w:t>
      </w:r>
      <w:r>
        <w:rPr>
          <w:rFonts w:hint="eastAsia" w:ascii="仿宋_GB2312" w:hAnsi="仿宋_GB2312" w:eastAsia="仿宋_GB2312" w:cs="仿宋_GB2312"/>
          <w:color w:val="auto"/>
          <w:sz w:val="32"/>
          <w:szCs w:val="40"/>
          <w:highlight w:val="none"/>
          <w:lang w:eastAsia="zh-CN"/>
        </w:rPr>
        <w:t>五</w:t>
      </w:r>
      <w:r>
        <w:rPr>
          <w:rFonts w:hint="default" w:ascii="仿宋_GB2312" w:hAnsi="仿宋_GB2312" w:eastAsia="仿宋_GB2312" w:cs="仿宋_GB2312"/>
          <w:color w:val="auto"/>
          <w:sz w:val="32"/>
          <w:szCs w:val="40"/>
          <w:highlight w:val="none"/>
        </w:rPr>
        <w:t>条内容的企业不受《南山区自主创新产业发展专项资金管理办法》规定的“区级地方财力贡献”限制。</w:t>
      </w:r>
    </w:p>
    <w:p>
      <w:pPr>
        <w:keepNext w:val="0"/>
        <w:keepLines w:val="0"/>
        <w:pageBreakBefore w:val="0"/>
        <w:widowControl w:val="0"/>
        <w:wordWrap/>
        <w:topLinePunct w:val="0"/>
        <w:bidi w:val="0"/>
        <w:spacing w:beforeAutospacing="0" w:afterAutospacing="0" w:line="560" w:lineRule="exact"/>
        <w:ind w:left="0" w:leftChars="0" w:firstLine="640"/>
        <w:rPr>
          <w:rFonts w:hint="eastAsia" w:ascii="仿宋_GB2312" w:hAnsi="仿宋_GB2312" w:eastAsia="仿宋_GB2312" w:cs="仿宋_GB2312"/>
          <w:color w:val="auto"/>
          <w:kern w:val="2"/>
          <w:sz w:val="32"/>
          <w:szCs w:val="40"/>
          <w:highlight w:val="none"/>
        </w:rPr>
      </w:pPr>
      <w:r>
        <w:rPr>
          <w:rFonts w:hint="eastAsia" w:ascii="仿宋_GB2312" w:hAnsi="仿宋_GB2312" w:eastAsia="仿宋_GB2312" w:cs="仿宋_GB2312"/>
          <w:color w:val="auto"/>
          <w:kern w:val="2"/>
          <w:sz w:val="32"/>
          <w:szCs w:val="40"/>
          <w:highlight w:val="none"/>
          <w:lang w:val="en-US" w:eastAsia="zh-CN"/>
        </w:rPr>
        <w:t>（二）</w:t>
      </w:r>
      <w:r>
        <w:rPr>
          <w:rFonts w:hint="eastAsia" w:ascii="仿宋_GB2312" w:hAnsi="仿宋_GB2312" w:eastAsia="仿宋_GB2312" w:cs="仿宋_GB2312"/>
          <w:color w:val="auto"/>
          <w:kern w:val="2"/>
          <w:sz w:val="32"/>
          <w:szCs w:val="40"/>
          <w:highlight w:val="none"/>
        </w:rPr>
        <w:t>申请第</w:t>
      </w:r>
      <w:r>
        <w:rPr>
          <w:rFonts w:hint="eastAsia" w:ascii="仿宋_GB2312" w:hAnsi="仿宋_GB2312" w:eastAsia="仿宋_GB2312" w:cs="仿宋_GB2312"/>
          <w:color w:val="auto"/>
          <w:kern w:val="2"/>
          <w:sz w:val="32"/>
          <w:szCs w:val="40"/>
          <w:highlight w:val="none"/>
          <w:lang w:eastAsia="zh-CN"/>
        </w:rPr>
        <w:t>十五</w:t>
      </w:r>
      <w:r>
        <w:rPr>
          <w:rFonts w:hint="eastAsia" w:ascii="仿宋_GB2312" w:hAnsi="仿宋_GB2312" w:eastAsia="仿宋_GB2312" w:cs="仿宋_GB2312"/>
          <w:color w:val="auto"/>
          <w:kern w:val="2"/>
          <w:sz w:val="32"/>
          <w:szCs w:val="40"/>
          <w:highlight w:val="none"/>
        </w:rPr>
        <w:t>条的企业可不受《南山区自主创新产业发展专项资金管理办法》规定的“</w:t>
      </w:r>
      <w:r>
        <w:rPr>
          <w:rFonts w:hint="eastAsia" w:ascii="仿宋_GB2312" w:hAnsi="仿宋_GB2312" w:eastAsia="仿宋_GB2312" w:cs="仿宋_GB2312"/>
          <w:color w:val="auto"/>
          <w:kern w:val="2"/>
          <w:sz w:val="32"/>
          <w:szCs w:val="40"/>
          <w:highlight w:val="none"/>
          <w:lang w:eastAsia="zh-CN"/>
        </w:rPr>
        <w:t>每家单位</w:t>
      </w:r>
      <w:r>
        <w:rPr>
          <w:rFonts w:hint="eastAsia" w:ascii="仿宋_GB2312" w:hAnsi="仿宋_GB2312" w:eastAsia="仿宋_GB2312" w:cs="仿宋_GB2312"/>
          <w:color w:val="auto"/>
          <w:kern w:val="2"/>
          <w:sz w:val="32"/>
          <w:szCs w:val="40"/>
          <w:highlight w:val="none"/>
        </w:rPr>
        <w:t>单个扶持项目资助金额原则上不得超过1000万元”</w:t>
      </w:r>
      <w:r>
        <w:rPr>
          <w:rFonts w:hint="eastAsia" w:ascii="仿宋_GB2312" w:hAnsi="仿宋_GB2312" w:eastAsia="仿宋_GB2312" w:cs="仿宋_GB2312"/>
          <w:color w:val="auto"/>
          <w:kern w:val="2"/>
          <w:sz w:val="32"/>
          <w:szCs w:val="40"/>
          <w:highlight w:val="none"/>
          <w:lang w:eastAsia="zh-CN"/>
        </w:rPr>
        <w:t>总量控制</w:t>
      </w:r>
      <w:r>
        <w:rPr>
          <w:rFonts w:hint="eastAsia" w:ascii="仿宋_GB2312" w:hAnsi="仿宋_GB2312" w:eastAsia="仿宋_GB2312" w:cs="仿宋_GB2312"/>
          <w:color w:val="auto"/>
          <w:kern w:val="2"/>
          <w:sz w:val="32"/>
          <w:szCs w:val="40"/>
          <w:highlight w:val="none"/>
        </w:rPr>
        <w:t>限制。</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0" w:firstLineChars="0"/>
        <w:jc w:val="both"/>
        <w:textAlignment w:val="auto"/>
        <w:rPr>
          <w:rFonts w:hint="eastAsia" w:eastAsia="仿宋_GB2312"/>
          <w:color w:val="auto"/>
          <w:sz w:val="32"/>
          <w:highlight w:val="none"/>
          <w:lang w:val="en-US" w:eastAsia="zh-CN"/>
        </w:rPr>
      </w:pPr>
      <w:bookmarkStart w:id="11" w:name="_Toc8388"/>
      <w:bookmarkStart w:id="12" w:name="_Toc22683"/>
      <w:bookmarkStart w:id="13" w:name="_Toc30096"/>
      <w:bookmarkStart w:id="14" w:name="_Toc7627"/>
      <w:bookmarkStart w:id="15" w:name="_Toc20727"/>
      <w:bookmarkStart w:id="16" w:name="_Toc25761"/>
      <w:bookmarkStart w:id="17" w:name="_Toc16267"/>
      <w:bookmarkStart w:id="18" w:name="_Toc23514"/>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left="0" w:leftChars="0"/>
        <w:jc w:val="center"/>
        <w:textAlignment w:val="auto"/>
        <w:rPr>
          <w:rFonts w:hint="default"/>
          <w:color w:val="auto"/>
          <w:sz w:val="32"/>
          <w:szCs w:val="32"/>
          <w:highlight w:val="none"/>
          <w:lang w:eastAsia="zh-CN"/>
        </w:rPr>
      </w:pPr>
      <w:bookmarkStart w:id="19" w:name="_Toc11560"/>
      <w:bookmarkStart w:id="20" w:name="_Toc18804"/>
      <w:r>
        <w:rPr>
          <w:rFonts w:hint="eastAsia"/>
          <w:color w:val="auto"/>
          <w:sz w:val="32"/>
          <w:szCs w:val="32"/>
          <w:highlight w:val="none"/>
          <w:lang w:eastAsia="zh-CN"/>
        </w:rPr>
        <w:t>第二章</w:t>
      </w:r>
      <w:r>
        <w:rPr>
          <w:rFonts w:hint="eastAsia"/>
          <w:color w:val="auto"/>
          <w:sz w:val="32"/>
          <w:szCs w:val="32"/>
          <w:highlight w:val="none"/>
          <w:lang w:val="en-US" w:eastAsia="zh-CN"/>
        </w:rPr>
        <w:t xml:space="preserve"> </w:t>
      </w:r>
      <w:bookmarkEnd w:id="11"/>
      <w:bookmarkEnd w:id="12"/>
      <w:bookmarkEnd w:id="13"/>
      <w:bookmarkEnd w:id="14"/>
      <w:bookmarkEnd w:id="15"/>
      <w:bookmarkEnd w:id="16"/>
      <w:bookmarkEnd w:id="17"/>
      <w:bookmarkEnd w:id="18"/>
      <w:r>
        <w:rPr>
          <w:rFonts w:hint="eastAsia"/>
          <w:color w:val="auto"/>
          <w:sz w:val="32"/>
          <w:szCs w:val="32"/>
          <w:highlight w:val="none"/>
          <w:lang w:val="en-US" w:eastAsia="zh-CN"/>
        </w:rPr>
        <w:t xml:space="preserve"> 支持企业降低融资成本</w:t>
      </w:r>
      <w:bookmarkEnd w:id="19"/>
      <w:bookmarkEnd w:id="20"/>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jc w:val="both"/>
        <w:textAlignment w:val="auto"/>
        <w:rPr>
          <w:rFonts w:hint="default"/>
          <w:color w:val="auto"/>
          <w:highlight w:val="none"/>
        </w:rPr>
      </w:pPr>
    </w:p>
    <w:p>
      <w:pPr>
        <w:pStyle w:val="3"/>
        <w:keepNext w:val="0"/>
        <w:keepLines w:val="0"/>
        <w:pageBreakBefore w:val="0"/>
        <w:widowControl w:val="0"/>
        <w:wordWrap/>
        <w:topLinePunct w:val="0"/>
        <w:bidi w:val="0"/>
        <w:spacing w:before="0" w:beforeLines="0" w:beforeAutospacing="0" w:after="0" w:afterLines="0" w:afterAutospacing="0" w:line="560" w:lineRule="exact"/>
        <w:ind w:left="0" w:leftChars="0" w:firstLine="643" w:firstLineChars="200"/>
        <w:rPr>
          <w:rFonts w:hint="eastAsia" w:ascii="楷体_GB2312" w:hAnsi="楷体_GB2312" w:eastAsia="楷体_GB2312" w:cs="楷体_GB2312"/>
          <w:b/>
          <w:color w:val="auto"/>
          <w:sz w:val="32"/>
          <w:szCs w:val="24"/>
          <w:highlight w:val="none"/>
          <w:lang w:val="en-US" w:eastAsia="zh-CN"/>
        </w:rPr>
      </w:pPr>
      <w:bookmarkStart w:id="21" w:name="_Toc8408"/>
      <w:bookmarkStart w:id="22" w:name="_Toc11283"/>
      <w:r>
        <w:rPr>
          <w:rFonts w:hint="eastAsia" w:ascii="楷体_GB2312" w:hAnsi="楷体_GB2312" w:eastAsia="楷体_GB2312" w:cs="楷体_GB2312"/>
          <w:b/>
          <w:color w:val="auto"/>
          <w:sz w:val="32"/>
          <w:szCs w:val="24"/>
          <w:highlight w:val="none"/>
          <w:lang w:val="en-US" w:eastAsia="zh-CN"/>
        </w:rPr>
        <w:t>第五条  全生命周期贴息支持</w:t>
      </w:r>
      <w:bookmarkEnd w:id="21"/>
      <w:bookmarkEnd w:id="22"/>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hint="eastAsia" w:ascii="仿宋_GB2312" w:hAnsi="Calibri" w:eastAsia="仿宋_GB2312" w:cs="Times New Roman"/>
          <w:b/>
          <w:sz w:val="32"/>
          <w:szCs w:val="24"/>
          <w:highlight w:val="none"/>
          <w:lang w:val="en-US" w:eastAsia="zh-CN"/>
        </w:rPr>
      </w:pPr>
      <w:bookmarkStart w:id="23" w:name="_Toc21211"/>
      <w:bookmarkStart w:id="24" w:name="_Toc5407"/>
      <w:bookmarkStart w:id="25" w:name="_Toc4853"/>
      <w:bookmarkStart w:id="26" w:name="_Toc3972"/>
      <w:bookmarkStart w:id="27" w:name="_Toc907"/>
      <w:bookmarkStart w:id="28" w:name="_Toc11398"/>
      <w:r>
        <w:rPr>
          <w:rFonts w:hint="eastAsia" w:ascii="仿宋_GB2312" w:hAnsi="Calibri" w:eastAsia="仿宋_GB2312" w:cs="Times New Roman"/>
          <w:b/>
          <w:sz w:val="32"/>
          <w:szCs w:val="24"/>
          <w:highlight w:val="none"/>
          <w:lang w:val="en-US" w:eastAsia="zh-CN"/>
        </w:rPr>
        <w:t>（一）初创期小微企业</w:t>
      </w:r>
      <w:r>
        <w:rPr>
          <w:rFonts w:hint="eastAsia" w:ascii="仿宋_GB2312" w:hAnsi="Calibri" w:eastAsia="仿宋_GB2312" w:cs="Times New Roman"/>
          <w:b/>
          <w:color w:val="auto"/>
          <w:kern w:val="2"/>
          <w:sz w:val="32"/>
          <w:szCs w:val="24"/>
          <w:highlight w:val="none"/>
          <w:lang w:val="en-US" w:eastAsia="zh-CN" w:bidi="ar-SA"/>
        </w:rPr>
        <w:t>贷款贴息扶持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对</w:t>
      </w:r>
      <w:r>
        <w:rPr>
          <w:rFonts w:hint="eastAsia" w:ascii="仿宋_GB2312" w:hAnsi="仿宋_GB2312" w:eastAsia="仿宋_GB2312" w:cs="仿宋_GB2312"/>
          <w:sz w:val="32"/>
          <w:szCs w:val="40"/>
          <w:highlight w:val="none"/>
          <w:lang w:val="en-US" w:eastAsia="zh-CN"/>
        </w:rPr>
        <w:t>符合南山区产业发展方向且</w:t>
      </w:r>
      <w:r>
        <w:rPr>
          <w:rFonts w:hint="eastAsia" w:ascii="仿宋_GB2312" w:hAnsi="仿宋_GB2312" w:eastAsia="仿宋_GB2312" w:cs="仿宋_GB2312"/>
          <w:color w:val="auto"/>
          <w:kern w:val="2"/>
          <w:sz w:val="32"/>
          <w:szCs w:val="32"/>
          <w:highlight w:val="none"/>
          <w:lang w:val="en-US" w:eastAsia="zh-CN" w:bidi="ar-SA"/>
        </w:rPr>
        <w:t>上年度营收正增长的规下工业样本企业给予融资扶持，在其短期贷款项目结清后，最高按实际支付利息70%的比例给予贴息扶持，每家企业每年贴息总额最高50万元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hint="eastAsia" w:ascii="仿宋_GB2312" w:hAnsi="Calibri" w:eastAsia="仿宋_GB2312" w:cs="Times New Roman"/>
          <w:b/>
          <w:sz w:val="32"/>
          <w:szCs w:val="24"/>
          <w:highlight w:val="none"/>
          <w:lang w:val="en-US" w:eastAsia="zh-CN"/>
        </w:rPr>
      </w:pPr>
      <w:r>
        <w:rPr>
          <w:rFonts w:hint="eastAsia" w:ascii="仿宋_GB2312" w:hAnsi="Calibri" w:eastAsia="仿宋_GB2312" w:cs="Times New Roman"/>
          <w:b/>
          <w:sz w:val="32"/>
          <w:szCs w:val="24"/>
          <w:highlight w:val="none"/>
          <w:lang w:val="en-US" w:eastAsia="zh-CN"/>
        </w:rPr>
        <w:t>（二）科技金融贷款贴息支持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40"/>
          <w:highlight w:val="none"/>
          <w:lang w:val="en-US" w:eastAsia="zh-CN"/>
        </w:rPr>
      </w:pPr>
      <w:bookmarkStart w:id="29" w:name="_Hlk104117019"/>
      <w:r>
        <w:rPr>
          <w:rFonts w:hint="eastAsia" w:ascii="仿宋_GB2312" w:hAnsi="仿宋_GB2312" w:eastAsia="仿宋_GB2312" w:cs="仿宋_GB2312"/>
          <w:sz w:val="32"/>
          <w:szCs w:val="40"/>
          <w:highlight w:val="none"/>
          <w:lang w:val="en-US" w:eastAsia="zh-CN"/>
        </w:rPr>
        <w:t>对在南山科技金融在线平台完成评级及备案，并获得流动资金贷款且按时还款的辖区内科技企业，在平台贷款贴息额度内，按照企业实际支付利息的70%给予补贴。每家企业每年最高资助100万元</w:t>
      </w:r>
      <w:bookmarkEnd w:id="29"/>
      <w:r>
        <w:rPr>
          <w:rFonts w:hint="eastAsia" w:ascii="仿宋_GB2312" w:hAnsi="仿宋_GB2312" w:eastAsia="仿宋_GB2312" w:cs="仿宋_GB2312"/>
          <w:sz w:val="32"/>
          <w:szCs w:val="40"/>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hint="eastAsia" w:ascii="仿宋_GB2312" w:hAnsi="Calibri" w:eastAsia="仿宋_GB2312" w:cs="Times New Roman"/>
          <w:b/>
          <w:sz w:val="32"/>
          <w:szCs w:val="24"/>
          <w:highlight w:val="none"/>
          <w:lang w:val="en-US" w:eastAsia="zh-CN"/>
        </w:rPr>
      </w:pPr>
      <w:r>
        <w:rPr>
          <w:rFonts w:hint="eastAsia" w:ascii="仿宋_GB2312" w:hAnsi="Calibri" w:eastAsia="仿宋_GB2312" w:cs="Times New Roman"/>
          <w:b/>
          <w:sz w:val="32"/>
          <w:szCs w:val="24"/>
          <w:highlight w:val="none"/>
          <w:lang w:val="en-US" w:eastAsia="zh-CN"/>
        </w:rPr>
        <w:t>（三）成长期企业贷款贴息扶持</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对符合南山区产业发展方向且上年度纳入产值增速高于全区各行业总产值平均增速的成长期企业给予融资扶持，在其贷款项目结清后，最高按实际支付利息50%的比例给予贴息扶持，每家企业每年贴息总额最高100万元。</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其中对专精特新“小巨人”企业最高按实际支付利息70%的比例给予贴息扶持，每家企业每年贴息总额最高300万元。</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其中上年度纳入南山区统计的工业产值超过3亿元且产值增速高于全区工业总产值平均增速的工业企业最高按实际支付利息50%的比例给予贴息扶持，每家企业每年贴息总额最高300万元。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hint="eastAsia" w:ascii="仿宋_GB2312" w:hAnsi="Calibri" w:eastAsia="仿宋_GB2312" w:cs="Times New Roman"/>
          <w:b/>
          <w:sz w:val="32"/>
          <w:szCs w:val="24"/>
          <w:highlight w:val="none"/>
          <w:lang w:val="en-US" w:eastAsia="zh-CN"/>
        </w:rPr>
      </w:pPr>
      <w:r>
        <w:rPr>
          <w:rFonts w:hint="eastAsia" w:ascii="仿宋_GB2312" w:hAnsi="Calibri" w:eastAsia="仿宋_GB2312" w:cs="Times New Roman"/>
          <w:b/>
          <w:sz w:val="32"/>
          <w:szCs w:val="24"/>
          <w:highlight w:val="none"/>
          <w:lang w:val="en-US" w:eastAsia="zh-CN"/>
        </w:rPr>
        <w:t>（四）拟上市企业贷款贴息扶持</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对拟上市企业、新三板企业给予融资扶持，在其短期贷款项目结清后，最高按实际支付利息70%的比例给予贴息扶持，每家企业每年贴息总额最高200万元。</w:t>
      </w:r>
    </w:p>
    <w:p>
      <w:pPr>
        <w:pStyle w:val="3"/>
        <w:keepNext w:val="0"/>
        <w:keepLines w:val="0"/>
        <w:pageBreakBefore w:val="0"/>
        <w:widowControl w:val="0"/>
        <w:wordWrap/>
        <w:topLinePunct w:val="0"/>
        <w:bidi w:val="0"/>
        <w:spacing w:before="0" w:beforeLines="0" w:beforeAutospacing="0" w:after="0" w:afterLines="0" w:afterAutospacing="0" w:line="560" w:lineRule="exact"/>
        <w:ind w:left="0" w:leftChars="0" w:firstLine="643" w:firstLineChars="200"/>
        <w:rPr>
          <w:rFonts w:hint="eastAsia" w:ascii="楷体_GB2312" w:hAnsi="楷体_GB2312" w:eastAsia="楷体_GB2312" w:cs="楷体_GB2312"/>
          <w:b/>
          <w:color w:val="auto"/>
          <w:sz w:val="32"/>
          <w:szCs w:val="24"/>
          <w:highlight w:val="none"/>
          <w:lang w:val="en-US" w:eastAsia="zh-CN"/>
        </w:rPr>
      </w:pPr>
      <w:bookmarkStart w:id="30" w:name="_Toc6566"/>
      <w:bookmarkStart w:id="31" w:name="_Toc14209"/>
      <w:r>
        <w:rPr>
          <w:rFonts w:hint="eastAsia" w:ascii="楷体_GB2312" w:hAnsi="楷体_GB2312" w:eastAsia="楷体_GB2312" w:cs="楷体_GB2312"/>
          <w:b/>
          <w:color w:val="auto"/>
          <w:sz w:val="32"/>
          <w:szCs w:val="24"/>
          <w:highlight w:val="none"/>
          <w:lang w:val="en-US" w:eastAsia="zh-CN"/>
        </w:rPr>
        <w:t>第六条  支持知识产权融资</w:t>
      </w:r>
      <w:bookmarkEnd w:id="30"/>
      <w:bookmarkEnd w:id="31"/>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jc w:val="left"/>
        <w:textAlignment w:val="auto"/>
        <w:rPr>
          <w:rFonts w:hint="eastAsia" w:ascii="仿宋_GB2312" w:hAnsi="Calibri" w:eastAsia="仿宋_GB2312" w:cs="Times New Roman"/>
          <w:b/>
          <w:color w:val="auto"/>
          <w:kern w:val="2"/>
          <w:sz w:val="32"/>
          <w:szCs w:val="24"/>
          <w:highlight w:val="none"/>
          <w:lang w:val="en-US" w:eastAsia="zh-CN" w:bidi="ar-SA"/>
        </w:rPr>
      </w:pPr>
      <w:r>
        <w:rPr>
          <w:rFonts w:hint="eastAsia" w:ascii="仿宋_GB2312" w:hAnsi="Calibri" w:eastAsia="仿宋_GB2312" w:cs="Times New Roman"/>
          <w:b/>
          <w:color w:val="auto"/>
          <w:kern w:val="2"/>
          <w:sz w:val="32"/>
          <w:szCs w:val="24"/>
          <w:highlight w:val="none"/>
          <w:lang w:val="en-US" w:eastAsia="zh-CN" w:bidi="ar-SA"/>
        </w:rPr>
        <w:t>（一）知识产权证券化融资支持</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对辖区符合条件的企业参与发行知识产权证券化产品获得融资的，按实际融资成本不高于70%的比例给予资助。</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jc w:val="left"/>
        <w:textAlignment w:val="auto"/>
        <w:rPr>
          <w:rFonts w:hint="eastAsia" w:ascii="仿宋_GB2312" w:hAnsi="Calibri" w:eastAsia="仿宋_GB2312" w:cs="Times New Roman"/>
          <w:b/>
          <w:color w:val="auto"/>
          <w:kern w:val="2"/>
          <w:sz w:val="32"/>
          <w:szCs w:val="24"/>
          <w:highlight w:val="none"/>
          <w:lang w:val="en-US" w:eastAsia="zh-CN" w:bidi="ar-SA"/>
        </w:rPr>
      </w:pPr>
      <w:r>
        <w:rPr>
          <w:rFonts w:hint="eastAsia" w:ascii="仿宋_GB2312" w:hAnsi="Calibri" w:eastAsia="仿宋_GB2312" w:cs="Times New Roman"/>
          <w:b/>
          <w:color w:val="auto"/>
          <w:kern w:val="2"/>
          <w:sz w:val="32"/>
          <w:szCs w:val="24"/>
          <w:highlight w:val="none"/>
          <w:lang w:val="en-US" w:eastAsia="zh-CN" w:bidi="ar-SA"/>
        </w:rPr>
        <w:t>（二）知识产权质押融资支持</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bookmarkStart w:id="32" w:name="_Hlk92354544"/>
      <w:r>
        <w:rPr>
          <w:rFonts w:hint="eastAsia" w:ascii="仿宋_GB2312" w:hAnsi="仿宋_GB2312" w:eastAsia="仿宋_GB2312" w:cs="仿宋_GB2312"/>
          <w:color w:val="auto"/>
          <w:kern w:val="2"/>
          <w:sz w:val="32"/>
          <w:szCs w:val="32"/>
          <w:highlight w:val="none"/>
          <w:lang w:val="en-US" w:eastAsia="zh-CN" w:bidi="ar-SA"/>
        </w:rPr>
        <w:t>支持辖区企业开展知识产权质押融资，按照实际发生担保、保险、评估费用的70%给予资助，每家企业每年最高资助50万元</w:t>
      </w:r>
      <w:bookmarkEnd w:id="32"/>
      <w:r>
        <w:rPr>
          <w:rFonts w:hint="eastAsia" w:ascii="仿宋_GB2312" w:hAnsi="仿宋_GB2312" w:eastAsia="仿宋_GB2312" w:cs="仿宋_GB2312"/>
          <w:color w:val="auto"/>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outlineLvl w:val="1"/>
        <w:rPr>
          <w:rFonts w:hint="eastAsia" w:ascii="仿宋_GB2312" w:hAnsi="仿宋_GB2312" w:eastAsia="仿宋_GB2312" w:cs="仿宋_GB2312"/>
          <w:b/>
          <w:color w:val="auto"/>
          <w:kern w:val="2"/>
          <w:sz w:val="32"/>
          <w:szCs w:val="32"/>
          <w:highlight w:val="none"/>
          <w:lang w:val="en-US" w:eastAsia="zh-CN" w:bidi="ar-SA"/>
        </w:rPr>
      </w:pPr>
      <w:bookmarkStart w:id="33" w:name="_Toc16177_WPSOffice_Level2"/>
      <w:bookmarkStart w:id="34" w:name="_Toc84849425"/>
      <w:bookmarkStart w:id="35" w:name="_Toc16954"/>
      <w:bookmarkStart w:id="36" w:name="_Toc28225"/>
      <w:bookmarkStart w:id="37" w:name="_Toc753"/>
      <w:bookmarkStart w:id="38" w:name="_Toc27947"/>
      <w:bookmarkStart w:id="39" w:name="_Toc15921"/>
      <w:bookmarkStart w:id="40" w:name="_Toc16353"/>
      <w:bookmarkStart w:id="41" w:name="_Toc11551"/>
      <w:bookmarkStart w:id="42" w:name="_Toc8392"/>
      <w:bookmarkStart w:id="43" w:name="_Toc18844"/>
      <w:bookmarkStart w:id="44" w:name="_Toc10962"/>
      <w:bookmarkStart w:id="45" w:name="_Toc18807"/>
      <w:bookmarkStart w:id="46" w:name="_Toc3874"/>
      <w:r>
        <w:rPr>
          <w:rFonts w:hint="eastAsia" w:ascii="楷体_GB2312" w:hAnsi="楷体_GB2312" w:eastAsia="楷体_GB2312" w:cs="楷体_GB2312"/>
          <w:b/>
          <w:color w:val="auto"/>
          <w:kern w:val="2"/>
          <w:sz w:val="32"/>
          <w:szCs w:val="24"/>
          <w:highlight w:val="none"/>
          <w:lang w:val="en-US" w:eastAsia="zh-CN" w:bidi="ar-SA"/>
        </w:rPr>
        <w:t xml:space="preserve">第七条  </w:t>
      </w:r>
      <w:bookmarkEnd w:id="33"/>
      <w:r>
        <w:rPr>
          <w:rFonts w:hint="eastAsia" w:ascii="楷体_GB2312" w:hAnsi="楷体_GB2312" w:eastAsia="楷体_GB2312" w:cs="楷体_GB2312"/>
          <w:b/>
          <w:color w:val="auto"/>
          <w:kern w:val="2"/>
          <w:sz w:val="32"/>
          <w:szCs w:val="24"/>
          <w:highlight w:val="none"/>
          <w:lang w:val="en-US" w:eastAsia="zh-CN" w:bidi="ar-SA"/>
        </w:rPr>
        <w:fldChar w:fldCharType="begin"/>
      </w:r>
      <w:r>
        <w:rPr>
          <w:rFonts w:hint="eastAsia" w:ascii="楷体_GB2312" w:hAnsi="楷体_GB2312" w:eastAsia="楷体_GB2312" w:cs="楷体_GB2312"/>
          <w:b/>
          <w:color w:val="auto"/>
          <w:kern w:val="2"/>
          <w:sz w:val="32"/>
          <w:szCs w:val="24"/>
          <w:highlight w:val="none"/>
          <w:lang w:val="en-US" w:eastAsia="zh-CN" w:bidi="ar-SA"/>
        </w:rPr>
        <w:instrText xml:space="preserve"> HYPERLINK \l "_Toc11675" </w:instrText>
      </w:r>
      <w:r>
        <w:rPr>
          <w:rFonts w:hint="eastAsia" w:ascii="楷体_GB2312" w:hAnsi="楷体_GB2312" w:eastAsia="楷体_GB2312" w:cs="楷体_GB2312"/>
          <w:b/>
          <w:color w:val="auto"/>
          <w:kern w:val="2"/>
          <w:sz w:val="32"/>
          <w:szCs w:val="24"/>
          <w:highlight w:val="none"/>
          <w:lang w:val="en-US" w:eastAsia="zh-CN" w:bidi="ar-SA"/>
        </w:rPr>
        <w:fldChar w:fldCharType="separate"/>
      </w:r>
      <w:r>
        <w:rPr>
          <w:rFonts w:hint="eastAsia" w:ascii="楷体_GB2312" w:hAnsi="楷体_GB2312" w:eastAsia="楷体_GB2312" w:cs="楷体_GB2312"/>
          <w:b/>
          <w:color w:val="auto"/>
          <w:kern w:val="2"/>
          <w:sz w:val="32"/>
          <w:szCs w:val="24"/>
          <w:highlight w:val="none"/>
          <w:lang w:val="en-US" w:eastAsia="zh-CN" w:bidi="ar-SA"/>
        </w:rPr>
        <w:t>支持供应链金融融资</w:t>
      </w:r>
      <w:bookmarkEnd w:id="34"/>
      <w:r>
        <w:rPr>
          <w:rFonts w:hint="eastAsia" w:ascii="楷体_GB2312" w:hAnsi="楷体_GB2312" w:eastAsia="楷体_GB2312" w:cs="楷体_GB2312"/>
          <w:b/>
          <w:color w:val="auto"/>
          <w:kern w:val="2"/>
          <w:sz w:val="32"/>
          <w:szCs w:val="24"/>
          <w:highlight w:val="none"/>
          <w:lang w:val="en-US" w:eastAsia="zh-CN" w:bidi="ar-SA"/>
        </w:rPr>
        <w:fldChar w:fldCharType="end"/>
      </w:r>
      <w:bookmarkEnd w:id="35"/>
      <w:bookmarkEnd w:id="36"/>
      <w:bookmarkEnd w:id="37"/>
      <w:bookmarkEnd w:id="38"/>
      <w:bookmarkEnd w:id="39"/>
      <w:bookmarkEnd w:id="40"/>
      <w:bookmarkEnd w:id="41"/>
      <w:bookmarkEnd w:id="42"/>
      <w:bookmarkEnd w:id="43"/>
      <w:bookmarkEnd w:id="44"/>
      <w:bookmarkEnd w:id="45"/>
      <w:bookmarkEnd w:id="46"/>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一）对符合南山区产业发展方向的中小微企业，依托“中征应收账款融资服务平台”、“上海票据交易所供应链票据平台”或银行自建的供应链融资平台，从合作银行获得订单融资、仓单融资、应收账款融资、供应链票据贴现等供应链金融产品的，在其贷款项目结清后，最高按实际支付利息20%的比例给予贴息扶持，每家企业每年贴息总额最高10万元，贴息期限1年。</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（二）对符合条件的</w:t>
      </w:r>
      <w:r>
        <w:rPr>
          <w:rFonts w:hint="eastAsia" w:ascii="仿宋_GB2312" w:hAnsi="仿宋_GB2312" w:eastAsia="仿宋_GB2312" w:cs="仿宋_GB2312"/>
          <w:color w:val="auto"/>
          <w:sz w:val="32"/>
          <w:szCs w:val="32"/>
          <w:highlight w:val="none"/>
        </w:rPr>
        <w:t>企业开展融资租赁或商业保理业务获得融资的，最高按实际</w:t>
      </w:r>
      <w:r>
        <w:rPr>
          <w:rFonts w:hint="eastAsia" w:ascii="仿宋_GB2312" w:hAnsi="仿宋_GB2312" w:eastAsia="仿宋_GB2312" w:cs="仿宋_GB2312"/>
          <w:color w:val="auto"/>
          <w:sz w:val="32"/>
          <w:szCs w:val="32"/>
          <w:highlight w:val="none"/>
          <w:lang w:eastAsia="zh-CN"/>
        </w:rPr>
        <w:t>支付</w:t>
      </w:r>
      <w:r>
        <w:rPr>
          <w:rFonts w:hint="eastAsia" w:ascii="仿宋_GB2312" w:hAnsi="仿宋_GB2312" w:eastAsia="仿宋_GB2312" w:cs="仿宋_GB2312"/>
          <w:color w:val="auto"/>
          <w:sz w:val="32"/>
          <w:szCs w:val="32"/>
          <w:highlight w:val="none"/>
        </w:rPr>
        <w:t>融资费用70%的比例给予费用支持，每家企业每年每类资助最高100万元。</w:t>
      </w:r>
      <w:r>
        <w:rPr>
          <w:rFonts w:hint="eastAsia" w:ascii="仿宋_GB2312" w:hAnsi="仿宋_GB2312" w:eastAsia="仿宋_GB2312" w:cs="仿宋_GB2312"/>
          <w:color w:val="auto"/>
          <w:sz w:val="32"/>
          <w:szCs w:val="32"/>
          <w:highlight w:val="none"/>
          <w:lang w:eastAsia="zh-CN"/>
        </w:rPr>
        <w:t>其中</w:t>
      </w:r>
      <w:r>
        <w:rPr>
          <w:rFonts w:hint="eastAsia" w:ascii="仿宋_GB2312" w:hAnsi="仿宋_GB2312" w:eastAsia="仿宋_GB2312" w:cs="仿宋_GB2312"/>
          <w:color w:val="auto"/>
          <w:sz w:val="32"/>
          <w:szCs w:val="32"/>
          <w:highlight w:val="none"/>
        </w:rPr>
        <w:t>国家级、省级“专精特新”企业开展融资租赁或商业保理业务获得融资的，最高按实际支付融资费用70%的比例给予费用支持，每家企业每年每类资助最高150万元。</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outlineLvl w:val="1"/>
        <w:rPr>
          <w:rFonts w:hint="eastAsia" w:ascii="楷体_GB2312" w:hAnsi="楷体_GB2312" w:eastAsia="楷体_GB2312" w:cs="楷体_GB2312"/>
          <w:b/>
          <w:color w:val="auto"/>
          <w:kern w:val="2"/>
          <w:sz w:val="32"/>
          <w:szCs w:val="24"/>
          <w:highlight w:val="none"/>
          <w:lang w:val="en-US" w:eastAsia="zh-CN" w:bidi="ar-SA"/>
        </w:rPr>
      </w:pPr>
      <w:bookmarkStart w:id="47" w:name="_Toc6477_WPSOffice_Level3"/>
      <w:bookmarkStart w:id="48" w:name="_Toc26917"/>
      <w:bookmarkStart w:id="49" w:name="_Toc15694"/>
      <w:bookmarkStart w:id="50" w:name="_Toc22501"/>
      <w:bookmarkStart w:id="51" w:name="_Toc6840"/>
      <w:bookmarkStart w:id="52" w:name="_Toc28376"/>
      <w:bookmarkStart w:id="53" w:name="_Toc26049"/>
      <w:bookmarkStart w:id="54" w:name="_Toc26047"/>
      <w:bookmarkStart w:id="55" w:name="_Toc15794"/>
      <w:bookmarkStart w:id="56" w:name="_Toc21224"/>
      <w:bookmarkStart w:id="57" w:name="_Toc20301"/>
      <w:bookmarkStart w:id="58" w:name="_Toc358"/>
      <w:bookmarkStart w:id="59" w:name="_Toc13962"/>
      <w:bookmarkStart w:id="60" w:name="_Toc20747"/>
      <w:bookmarkStart w:id="61" w:name="_Toc28055"/>
      <w:r>
        <w:rPr>
          <w:rFonts w:hint="eastAsia" w:ascii="楷体_GB2312" w:hAnsi="楷体_GB2312" w:eastAsia="楷体_GB2312" w:cs="楷体_GB2312"/>
          <w:b/>
          <w:color w:val="auto"/>
          <w:kern w:val="2"/>
          <w:sz w:val="32"/>
          <w:szCs w:val="24"/>
          <w:highlight w:val="none"/>
          <w:lang w:val="en-US" w:eastAsia="zh-CN" w:bidi="ar-SA"/>
        </w:rPr>
        <w:t xml:space="preserve">第八条  </w:t>
      </w:r>
      <w:r>
        <w:rPr>
          <w:rFonts w:hint="eastAsia" w:ascii="楷体_GB2312" w:hAnsi="楷体_GB2312" w:eastAsia="楷体_GB2312" w:cs="楷体_GB2312"/>
          <w:b/>
          <w:color w:val="auto"/>
          <w:kern w:val="2"/>
          <w:sz w:val="32"/>
          <w:szCs w:val="24"/>
          <w:highlight w:val="none"/>
          <w:lang w:val="en-US" w:eastAsia="zh-CN" w:bidi="ar-SA"/>
        </w:rPr>
        <w:fldChar w:fldCharType="begin"/>
      </w:r>
      <w:r>
        <w:rPr>
          <w:rFonts w:hint="eastAsia" w:ascii="楷体_GB2312" w:hAnsi="楷体_GB2312" w:eastAsia="楷体_GB2312" w:cs="楷体_GB2312"/>
          <w:b/>
          <w:color w:val="auto"/>
          <w:kern w:val="2"/>
          <w:sz w:val="32"/>
          <w:szCs w:val="24"/>
          <w:highlight w:val="none"/>
          <w:lang w:val="en-US" w:eastAsia="zh-CN" w:bidi="ar-SA"/>
        </w:rPr>
        <w:instrText xml:space="preserve"> HYPERL</w:instrText>
      </w:r>
      <w:bookmarkEnd w:id="47"/>
      <w:r>
        <w:rPr>
          <w:rFonts w:hint="eastAsia" w:ascii="楷体_GB2312" w:hAnsi="楷体_GB2312" w:eastAsia="楷体_GB2312" w:cs="楷体_GB2312"/>
          <w:b/>
          <w:color w:val="auto"/>
          <w:kern w:val="2"/>
          <w:sz w:val="32"/>
          <w:szCs w:val="24"/>
          <w:highlight w:val="none"/>
          <w:lang w:val="en-US" w:eastAsia="zh-CN" w:bidi="ar-SA"/>
        </w:rPr>
        <w:instrText xml:space="preserve">INK \l "_Toc3770" </w:instrText>
      </w:r>
      <w:r>
        <w:rPr>
          <w:rFonts w:hint="eastAsia" w:ascii="楷体_GB2312" w:hAnsi="楷体_GB2312" w:eastAsia="楷体_GB2312" w:cs="楷体_GB2312"/>
          <w:b/>
          <w:color w:val="auto"/>
          <w:kern w:val="2"/>
          <w:sz w:val="32"/>
          <w:szCs w:val="24"/>
          <w:highlight w:val="none"/>
          <w:lang w:val="en-US" w:eastAsia="zh-CN" w:bidi="ar-SA"/>
        </w:rPr>
        <w:fldChar w:fldCharType="end"/>
      </w:r>
      <w:r>
        <w:rPr>
          <w:rFonts w:hint="eastAsia" w:ascii="楷体_GB2312" w:hAnsi="楷体_GB2312" w:eastAsia="楷体_GB2312" w:cs="楷体_GB2312"/>
          <w:b/>
          <w:color w:val="auto"/>
          <w:kern w:val="2"/>
          <w:sz w:val="32"/>
          <w:szCs w:val="24"/>
          <w:highlight w:val="none"/>
          <w:lang w:val="en-US" w:eastAsia="zh-CN" w:bidi="ar-SA"/>
        </w:rPr>
        <w:fldChar w:fldCharType="begin"/>
      </w:r>
      <w:r>
        <w:rPr>
          <w:rFonts w:hint="eastAsia" w:ascii="楷体_GB2312" w:hAnsi="楷体_GB2312" w:eastAsia="楷体_GB2312" w:cs="楷体_GB2312"/>
          <w:b/>
          <w:color w:val="auto"/>
          <w:kern w:val="2"/>
          <w:sz w:val="32"/>
          <w:szCs w:val="24"/>
          <w:highlight w:val="none"/>
          <w:lang w:val="en-US" w:eastAsia="zh-CN" w:bidi="ar-SA"/>
        </w:rPr>
        <w:instrText xml:space="preserve"> HYPERLINK \l "_Toc6105" </w:instrText>
      </w:r>
      <w:r>
        <w:rPr>
          <w:rFonts w:hint="eastAsia" w:ascii="楷体_GB2312" w:hAnsi="楷体_GB2312" w:eastAsia="楷体_GB2312" w:cs="楷体_GB2312"/>
          <w:b/>
          <w:color w:val="auto"/>
          <w:kern w:val="2"/>
          <w:sz w:val="32"/>
          <w:szCs w:val="24"/>
          <w:highlight w:val="none"/>
          <w:lang w:val="en-US" w:eastAsia="zh-CN" w:bidi="ar-SA"/>
        </w:rPr>
        <w:fldChar w:fldCharType="separate"/>
      </w:r>
      <w:r>
        <w:rPr>
          <w:rFonts w:hint="eastAsia" w:ascii="楷体_GB2312" w:hAnsi="楷体_GB2312" w:eastAsia="楷体_GB2312" w:cs="楷体_GB2312"/>
          <w:b/>
          <w:color w:val="auto"/>
          <w:kern w:val="2"/>
          <w:sz w:val="32"/>
          <w:szCs w:val="24"/>
          <w:highlight w:val="none"/>
          <w:lang w:val="en-US" w:eastAsia="zh-CN" w:bidi="ar-SA"/>
        </w:rPr>
        <w:t>支持企业发债融资</w:t>
      </w:r>
      <w:r>
        <w:rPr>
          <w:rFonts w:hint="eastAsia" w:ascii="楷体_GB2312" w:hAnsi="楷体_GB2312" w:eastAsia="楷体_GB2312" w:cs="楷体_GB2312"/>
          <w:b/>
          <w:color w:val="auto"/>
          <w:kern w:val="2"/>
          <w:sz w:val="32"/>
          <w:szCs w:val="24"/>
          <w:highlight w:val="none"/>
          <w:lang w:val="en-US" w:eastAsia="zh-CN" w:bidi="ar-SA"/>
        </w:rPr>
        <w:fldChar w:fldCharType="end"/>
      </w:r>
      <w:bookmarkEnd w:id="48"/>
      <w:bookmarkEnd w:id="49"/>
      <w:bookmarkEnd w:id="50"/>
      <w:bookmarkEnd w:id="51"/>
      <w:bookmarkEnd w:id="52"/>
      <w:bookmarkEnd w:id="53"/>
      <w:bookmarkEnd w:id="54"/>
      <w:bookmarkEnd w:id="55"/>
      <w:bookmarkEnd w:id="56"/>
      <w:bookmarkEnd w:id="57"/>
      <w:bookmarkEnd w:id="58"/>
      <w:bookmarkEnd w:id="59"/>
      <w:bookmarkEnd w:id="60"/>
      <w:bookmarkEnd w:id="61"/>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Calibri" w:hAnsi="Calibri" w:eastAsia="仿宋_GB2312" w:cs="Times New Roman"/>
          <w:color w:val="auto"/>
          <w:sz w:val="32"/>
          <w:highlight w:val="none"/>
          <w:lang w:eastAsia="zh-CN"/>
        </w:rPr>
      </w:pPr>
      <w:r>
        <w:rPr>
          <w:rFonts w:hint="eastAsia" w:ascii="Calibri" w:hAnsi="Calibri" w:eastAsia="仿宋_GB2312" w:cs="Times New Roman"/>
          <w:color w:val="auto"/>
          <w:sz w:val="32"/>
          <w:highlight w:val="none"/>
          <w:lang w:eastAsia="zh-CN"/>
        </w:rPr>
        <w:t>（一）支持企业发行债券融资，对成功完成融资的辖区内的企业，每个项目最高按发行规模的2%的比例给予资助，每家企业每年最高资助200万元。</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Calibri" w:hAnsi="Calibri" w:eastAsia="仿宋_GB2312" w:cs="Times New Roman"/>
          <w:color w:val="auto"/>
          <w:sz w:val="32"/>
          <w:highlight w:val="none"/>
          <w:lang w:eastAsia="zh-CN"/>
        </w:rPr>
      </w:pPr>
      <w:r>
        <w:rPr>
          <w:rFonts w:hint="eastAsia" w:ascii="Calibri" w:hAnsi="Calibri" w:eastAsia="仿宋_GB2312" w:cs="Times New Roman"/>
          <w:color w:val="auto"/>
          <w:sz w:val="32"/>
          <w:highlight w:val="none"/>
          <w:lang w:eastAsia="zh-CN"/>
        </w:rPr>
        <w:t>（二）对“专精特新”企业发行债券融资及绿色债券项目，可最高按发行规模的2%的比例给予资助，每家企业每年最高资助300万元。</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outlineLvl w:val="1"/>
        <w:rPr>
          <w:rFonts w:hint="eastAsia" w:ascii="楷体_GB2312" w:hAnsi="楷体_GB2312" w:eastAsia="楷体_GB2312" w:cs="楷体_GB2312"/>
          <w:b/>
          <w:color w:val="auto"/>
          <w:kern w:val="2"/>
          <w:sz w:val="32"/>
          <w:szCs w:val="24"/>
          <w:highlight w:val="none"/>
          <w:lang w:val="en-US" w:eastAsia="zh-CN" w:bidi="ar-SA"/>
        </w:rPr>
      </w:pPr>
      <w:bookmarkStart w:id="62" w:name="_Toc24160"/>
      <w:bookmarkStart w:id="63" w:name="_Toc16034"/>
      <w:r>
        <w:rPr>
          <w:rFonts w:hint="eastAsia" w:ascii="楷体_GB2312" w:hAnsi="楷体_GB2312" w:eastAsia="楷体_GB2312" w:cs="楷体_GB2312"/>
          <w:b/>
          <w:color w:val="auto"/>
          <w:kern w:val="2"/>
          <w:sz w:val="32"/>
          <w:szCs w:val="24"/>
          <w:highlight w:val="none"/>
          <w:lang w:val="en-US" w:eastAsia="zh-CN" w:bidi="ar-SA"/>
        </w:rPr>
        <w:t xml:space="preserve">第九条  </w:t>
      </w:r>
      <w:r>
        <w:rPr>
          <w:rFonts w:hint="eastAsia" w:ascii="楷体_GB2312" w:hAnsi="楷体_GB2312" w:eastAsia="楷体_GB2312" w:cs="楷体_GB2312"/>
          <w:b/>
          <w:color w:val="auto"/>
          <w:kern w:val="2"/>
          <w:sz w:val="32"/>
          <w:szCs w:val="24"/>
          <w:highlight w:val="none"/>
          <w:lang w:val="en-US" w:eastAsia="zh-CN" w:bidi="ar-SA"/>
        </w:rPr>
        <w:fldChar w:fldCharType="begin"/>
      </w:r>
      <w:r>
        <w:rPr>
          <w:rFonts w:hint="eastAsia" w:ascii="楷体_GB2312" w:hAnsi="楷体_GB2312" w:eastAsia="楷体_GB2312" w:cs="楷体_GB2312"/>
          <w:b/>
          <w:color w:val="auto"/>
          <w:kern w:val="2"/>
          <w:sz w:val="32"/>
          <w:szCs w:val="24"/>
          <w:highlight w:val="none"/>
          <w:lang w:val="en-US" w:eastAsia="zh-CN" w:bidi="ar-SA"/>
        </w:rPr>
        <w:instrText xml:space="preserve"> HYPERLINK \l "_Toc11675" </w:instrText>
      </w:r>
      <w:r>
        <w:rPr>
          <w:rFonts w:hint="eastAsia" w:ascii="楷体_GB2312" w:hAnsi="楷体_GB2312" w:eastAsia="楷体_GB2312" w:cs="楷体_GB2312"/>
          <w:b/>
          <w:color w:val="auto"/>
          <w:kern w:val="2"/>
          <w:sz w:val="32"/>
          <w:szCs w:val="24"/>
          <w:highlight w:val="none"/>
          <w:lang w:val="en-US" w:eastAsia="zh-CN" w:bidi="ar-SA"/>
        </w:rPr>
        <w:fldChar w:fldCharType="separate"/>
      </w:r>
      <w:r>
        <w:rPr>
          <w:rFonts w:hint="eastAsia" w:ascii="楷体_GB2312" w:hAnsi="楷体_GB2312" w:eastAsia="楷体_GB2312" w:cs="楷体_GB2312"/>
          <w:b/>
          <w:color w:val="auto"/>
          <w:kern w:val="2"/>
          <w:sz w:val="32"/>
          <w:szCs w:val="24"/>
          <w:highlight w:val="none"/>
          <w:lang w:val="en-US" w:eastAsia="zh-CN" w:bidi="ar-SA"/>
        </w:rPr>
        <w:t>支持出</w:t>
      </w:r>
      <w:r>
        <w:rPr>
          <w:rFonts w:hint="eastAsia" w:ascii="楷体_GB2312" w:hAnsi="楷体_GB2312" w:eastAsia="楷体_GB2312" w:cs="楷体_GB2312"/>
          <w:b/>
          <w:color w:val="auto"/>
          <w:kern w:val="2"/>
          <w:sz w:val="32"/>
          <w:szCs w:val="24"/>
          <w:highlight w:val="none"/>
          <w:lang w:val="en-US" w:eastAsia="zh-CN" w:bidi="ar-SA"/>
        </w:rPr>
        <w:fldChar w:fldCharType="end"/>
      </w:r>
      <w:r>
        <w:rPr>
          <w:rFonts w:hint="eastAsia" w:ascii="楷体_GB2312" w:hAnsi="楷体_GB2312" w:eastAsia="楷体_GB2312" w:cs="楷体_GB2312"/>
          <w:b/>
          <w:color w:val="auto"/>
          <w:kern w:val="2"/>
          <w:sz w:val="32"/>
          <w:szCs w:val="24"/>
          <w:highlight w:val="none"/>
          <w:lang w:val="en-US" w:eastAsia="zh-CN" w:bidi="ar-SA"/>
        </w:rPr>
        <w:t>口企业融资</w:t>
      </w:r>
      <w:bookmarkEnd w:id="62"/>
      <w:bookmarkEnd w:id="63"/>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（一）对符合南山区产业发展方向的中小微出口企业获得的以出口退税应收款作为还款保证的短期流动资金贷款给予贴息扶持，</w:t>
      </w:r>
      <w:r>
        <w:rPr>
          <w:rFonts w:hint="eastAsia" w:ascii="仿宋_GB2312" w:hAnsi="仿宋_GB2312" w:eastAsia="仿宋_GB2312" w:cs="仿宋_GB2312"/>
          <w:color w:val="auto"/>
          <w:kern w:val="2"/>
          <w:sz w:val="32"/>
          <w:szCs w:val="32"/>
          <w:highlight w:val="none"/>
          <w:lang w:val="en-US" w:eastAsia="zh-CN" w:bidi="ar-SA"/>
        </w:rPr>
        <w:t>在其贷款项目结清后，最高按实际支付利息50%的比例给予贴息扶持，每家企业每年贴息总额最高20万元。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（二）对符合南山区产业发展方向的中小微出口企业出口信用证项下贴现业务的手续费给予补贴扶持，在其项目结清后，最高按实际支付50%的比例给予补贴扶持，每家企业每年扶持总额最高20万元。</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outlineLvl w:val="1"/>
        <w:rPr>
          <w:rFonts w:hint="eastAsia" w:ascii="楷体_GB2312" w:hAnsi="楷体_GB2312" w:eastAsia="楷体_GB2312" w:cs="楷体_GB2312"/>
          <w:b/>
          <w:color w:val="auto"/>
          <w:kern w:val="2"/>
          <w:sz w:val="32"/>
          <w:szCs w:val="24"/>
          <w:highlight w:val="none"/>
          <w:lang w:val="en-US" w:eastAsia="zh-CN" w:bidi="ar-SA"/>
        </w:rPr>
      </w:pPr>
      <w:bookmarkStart w:id="64" w:name="_Toc4632"/>
      <w:bookmarkStart w:id="65" w:name="_Toc23043"/>
      <w:r>
        <w:rPr>
          <w:rFonts w:hint="eastAsia" w:ascii="楷体_GB2312" w:hAnsi="楷体_GB2312" w:eastAsia="楷体_GB2312" w:cs="楷体_GB2312"/>
          <w:b/>
          <w:color w:val="auto"/>
          <w:kern w:val="2"/>
          <w:sz w:val="32"/>
          <w:szCs w:val="24"/>
          <w:highlight w:val="none"/>
          <w:lang w:val="en-US" w:eastAsia="zh-CN" w:bidi="ar-SA"/>
        </w:rPr>
        <w:t>第十条  支持企业绿色发展</w:t>
      </w:r>
      <w:bookmarkEnd w:id="64"/>
      <w:bookmarkEnd w:id="65"/>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对南山区企业通过抵押排污权、碳配额、国家核证自愿减排量（CCER）获得的银行贷款，按其实际发生贷款金额的50%给予贴息，贴息期限3年。企业可就多个贷款合同申请贴息，单个企业每年最高100万元，以自然年作为计算标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outlineLvl w:val="1"/>
        <w:rPr>
          <w:rFonts w:hint="eastAsia" w:ascii="楷体_GB2312" w:hAnsi="楷体_GB2312" w:eastAsia="楷体_GB2312" w:cs="楷体_GB2312"/>
          <w:b/>
          <w:color w:val="auto"/>
          <w:kern w:val="2"/>
          <w:sz w:val="32"/>
          <w:szCs w:val="24"/>
          <w:highlight w:val="none"/>
          <w:lang w:val="en-US" w:eastAsia="zh-CN" w:bidi="ar-SA"/>
        </w:rPr>
      </w:pPr>
      <w:bookmarkStart w:id="66" w:name="_Toc3274"/>
      <w:bookmarkStart w:id="67" w:name="_Toc2886"/>
      <w:r>
        <w:rPr>
          <w:rFonts w:hint="eastAsia" w:ascii="楷体_GB2312" w:hAnsi="楷体_GB2312" w:eastAsia="楷体_GB2312" w:cs="楷体_GB2312"/>
          <w:b/>
          <w:color w:val="auto"/>
          <w:kern w:val="2"/>
          <w:sz w:val="32"/>
          <w:szCs w:val="24"/>
          <w:highlight w:val="none"/>
          <w:lang w:val="en-US" w:eastAsia="zh-CN" w:bidi="ar-SA"/>
        </w:rPr>
        <w:t>第十一条  支持人才创新创业</w:t>
      </w:r>
      <w:bookmarkEnd w:id="66"/>
      <w:bookmarkEnd w:id="67"/>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对获得各级政府认定的高层次人才作为实际控制人、法人、股东的初创期小微企业获得的信用、股权质押贷款给予最高50%的贴息支持，每家企业每年最高资助100万元。</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outlineLvl w:val="1"/>
        <w:rPr>
          <w:rFonts w:hint="eastAsia" w:ascii="楷体_GB2312" w:hAnsi="楷体_GB2312" w:eastAsia="楷体_GB2312" w:cs="楷体_GB2312"/>
          <w:b/>
          <w:color w:val="auto"/>
          <w:kern w:val="2"/>
          <w:sz w:val="32"/>
          <w:szCs w:val="24"/>
          <w:highlight w:val="none"/>
          <w:lang w:val="en-US" w:eastAsia="zh-CN" w:bidi="ar-SA"/>
        </w:rPr>
      </w:pPr>
      <w:bookmarkStart w:id="68" w:name="_Toc16594"/>
      <w:bookmarkStart w:id="69" w:name="_Toc32060"/>
      <w:r>
        <w:rPr>
          <w:rFonts w:hint="eastAsia" w:ascii="楷体_GB2312" w:hAnsi="楷体_GB2312" w:eastAsia="楷体_GB2312" w:cs="楷体_GB2312"/>
          <w:b/>
          <w:color w:val="auto"/>
          <w:kern w:val="2"/>
          <w:sz w:val="32"/>
          <w:szCs w:val="24"/>
          <w:highlight w:val="none"/>
          <w:lang w:val="en-US" w:eastAsia="zh-CN" w:bidi="ar-SA"/>
        </w:rPr>
        <w:t>第十二条  支持企业外部增信</w:t>
      </w:r>
      <w:bookmarkEnd w:id="68"/>
      <w:bookmarkEnd w:id="69"/>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对符合南山区产业发展方向中小微企业通过非国有融资担保机构担保、履约保证保险获得银行贷款的，按实际支付担保、履约保证保险费用最高50%给予资助，每家企业不超过20万元。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left="0" w:leftChars="0"/>
        <w:jc w:val="center"/>
        <w:textAlignment w:val="auto"/>
        <w:outlineLvl w:val="9"/>
        <w:rPr>
          <w:rFonts w:hint="eastAsia"/>
          <w:color w:val="auto"/>
          <w:sz w:val="32"/>
          <w:szCs w:val="32"/>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left="0" w:leftChars="0"/>
        <w:jc w:val="center"/>
        <w:textAlignment w:val="auto"/>
        <w:rPr>
          <w:rFonts w:hint="eastAsia"/>
          <w:color w:val="auto"/>
          <w:sz w:val="32"/>
          <w:szCs w:val="32"/>
          <w:highlight w:val="none"/>
          <w:lang w:val="en-US" w:eastAsia="zh-CN"/>
        </w:rPr>
      </w:pPr>
      <w:bookmarkStart w:id="70" w:name="_Toc18255"/>
      <w:bookmarkStart w:id="71" w:name="_Toc9805"/>
      <w:r>
        <w:rPr>
          <w:rFonts w:hint="eastAsia"/>
          <w:color w:val="auto"/>
          <w:sz w:val="32"/>
          <w:szCs w:val="32"/>
          <w:highlight w:val="none"/>
          <w:lang w:val="en-US" w:eastAsia="zh-CN"/>
        </w:rPr>
        <w:t>第三章  支持企业股权融资</w:t>
      </w:r>
      <w:bookmarkEnd w:id="70"/>
      <w:bookmarkEnd w:id="71"/>
    </w:p>
    <w:bookmarkEnd w:id="23"/>
    <w:bookmarkEnd w:id="24"/>
    <w:bookmarkEnd w:id="25"/>
    <w:bookmarkEnd w:id="26"/>
    <w:bookmarkEnd w:id="27"/>
    <w:bookmarkEnd w:id="28"/>
    <w:p>
      <w:pPr>
        <w:keepNext w:val="0"/>
        <w:keepLines w:val="0"/>
        <w:pageBreakBefore w:val="0"/>
        <w:widowControl w:val="0"/>
        <w:wordWrap/>
        <w:topLinePunct w:val="0"/>
        <w:bidi w:val="0"/>
        <w:spacing w:beforeAutospacing="0" w:afterAutospacing="0" w:line="560" w:lineRule="exact"/>
        <w:ind w:left="0" w:leftChars="0" w:firstLine="643" w:firstLineChars="200"/>
        <w:rPr>
          <w:rFonts w:hint="eastAsia" w:ascii="楷体_GB2312" w:hAnsi="楷体_GB2312" w:eastAsia="楷体_GB2312" w:cs="楷体_GB2312"/>
          <w:b/>
          <w:color w:val="auto"/>
          <w:sz w:val="32"/>
          <w:szCs w:val="24"/>
          <w:highlight w:val="none"/>
          <w:lang w:val="en-US" w:eastAsia="zh-CN"/>
        </w:rPr>
      </w:pPr>
      <w:bookmarkStart w:id="72" w:name="_Toc10226"/>
      <w:bookmarkStart w:id="73" w:name="_Toc29961"/>
      <w:bookmarkStart w:id="74" w:name="_Hlk92355413"/>
    </w:p>
    <w:p>
      <w:pPr>
        <w:keepNext w:val="0"/>
        <w:keepLines w:val="0"/>
        <w:pageBreakBefore w:val="0"/>
        <w:widowControl w:val="0"/>
        <w:wordWrap/>
        <w:topLinePunct w:val="0"/>
        <w:bidi w:val="0"/>
        <w:spacing w:beforeAutospacing="0" w:afterAutospacing="0" w:line="560" w:lineRule="exact"/>
        <w:ind w:left="0" w:leftChars="0" w:firstLine="643" w:firstLineChars="200"/>
        <w:rPr>
          <w:rFonts w:hint="eastAsia" w:ascii="楷体_GB2312" w:hAnsi="楷体_GB2312" w:eastAsia="楷体_GB2312" w:cs="楷体_GB2312"/>
          <w:b/>
          <w:color w:val="auto"/>
          <w:sz w:val="32"/>
          <w:szCs w:val="24"/>
          <w:highlight w:val="none"/>
          <w:lang w:val="en-US" w:eastAsia="zh-CN"/>
        </w:rPr>
      </w:pPr>
      <w:r>
        <w:rPr>
          <w:rFonts w:hint="eastAsia" w:ascii="楷体_GB2312" w:hAnsi="楷体_GB2312" w:eastAsia="楷体_GB2312" w:cs="楷体_GB2312"/>
          <w:b/>
          <w:color w:val="auto"/>
          <w:sz w:val="32"/>
          <w:szCs w:val="24"/>
          <w:highlight w:val="none"/>
          <w:lang w:val="en-US" w:eastAsia="zh-CN"/>
        </w:rPr>
        <w:t xml:space="preserve">第十三条  </w:t>
      </w:r>
      <w:r>
        <w:rPr>
          <w:rFonts w:hint="eastAsia" w:ascii="楷体_GB2312" w:hAnsi="楷体_GB2312" w:eastAsia="楷体_GB2312" w:cs="楷体_GB2312"/>
          <w:b/>
          <w:color w:val="auto"/>
          <w:kern w:val="2"/>
          <w:sz w:val="32"/>
          <w:szCs w:val="24"/>
          <w:highlight w:val="none"/>
          <w:lang w:val="en-US" w:eastAsia="zh-CN" w:bidi="ar-SA"/>
        </w:rPr>
        <w:t>创业融资支持</w:t>
      </w:r>
      <w:bookmarkEnd w:id="72"/>
      <w:bookmarkEnd w:id="73"/>
    </w:p>
    <w:bookmarkEnd w:id="74"/>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仿宋_GB2312" w:hAnsi="Times New Roman" w:eastAsia="仿宋_GB2312" w:cs="Times New Roman"/>
          <w:sz w:val="32"/>
          <w:szCs w:val="32"/>
          <w:highlight w:val="none"/>
        </w:rPr>
      </w:pPr>
      <w:r>
        <w:rPr>
          <w:rFonts w:ascii="仿宋_GB2312" w:hAnsi="Times New Roman" w:eastAsia="仿宋_GB2312" w:cs="Times New Roman"/>
          <w:sz w:val="32"/>
          <w:szCs w:val="32"/>
          <w:highlight w:val="none"/>
        </w:rPr>
        <w:t>1.</w:t>
      </w:r>
      <w:r>
        <w:rPr>
          <w:rFonts w:hint="eastAsia" w:ascii="仿宋_GB2312" w:hAnsi="Times New Roman" w:eastAsia="仿宋_GB2312" w:cs="Times New Roman"/>
          <w:sz w:val="32"/>
          <w:szCs w:val="32"/>
          <w:highlight w:val="none"/>
        </w:rPr>
        <w:t>对成立</w:t>
      </w:r>
      <w:r>
        <w:rPr>
          <w:rFonts w:ascii="仿宋_GB2312" w:hAnsi="Times New Roman" w:eastAsia="仿宋_GB2312" w:cs="Times New Roman"/>
          <w:sz w:val="32"/>
          <w:szCs w:val="32"/>
          <w:highlight w:val="none"/>
        </w:rPr>
        <w:t>5</w:t>
      </w:r>
      <w:r>
        <w:rPr>
          <w:rFonts w:hint="eastAsia" w:ascii="仿宋_GB2312" w:hAnsi="Times New Roman" w:eastAsia="仿宋_GB2312" w:cs="Times New Roman"/>
          <w:sz w:val="32"/>
          <w:szCs w:val="32"/>
          <w:highlight w:val="none"/>
        </w:rPr>
        <w:t>年以内，获得投资机构单轮次</w:t>
      </w:r>
      <w:r>
        <w:rPr>
          <w:rFonts w:ascii="仿宋_GB2312" w:hAnsi="Times New Roman" w:eastAsia="仿宋_GB2312" w:cs="Times New Roman"/>
          <w:sz w:val="32"/>
          <w:szCs w:val="32"/>
          <w:highlight w:val="none"/>
        </w:rPr>
        <w:t>300</w:t>
      </w:r>
      <w:r>
        <w:rPr>
          <w:rFonts w:hint="eastAsia" w:ascii="仿宋_GB2312" w:hAnsi="Times New Roman" w:eastAsia="仿宋_GB2312" w:cs="Times New Roman"/>
          <w:sz w:val="32"/>
          <w:szCs w:val="32"/>
          <w:highlight w:val="none"/>
        </w:rPr>
        <w:t>万元以上天使投资额的科技型企业，按照其上年度获得投资额的</w:t>
      </w:r>
      <w:r>
        <w:rPr>
          <w:rFonts w:ascii="仿宋_GB2312" w:hAnsi="Times New Roman" w:eastAsia="仿宋_GB2312" w:cs="Times New Roman"/>
          <w:sz w:val="32"/>
          <w:szCs w:val="32"/>
          <w:highlight w:val="none"/>
        </w:rPr>
        <w:t>5%</w:t>
      </w:r>
      <w:r>
        <w:rPr>
          <w:rFonts w:hint="eastAsia" w:ascii="仿宋_GB2312" w:hAnsi="Times New Roman" w:eastAsia="仿宋_GB2312" w:cs="Times New Roman"/>
          <w:sz w:val="32"/>
          <w:szCs w:val="32"/>
          <w:highlight w:val="none"/>
        </w:rPr>
        <w:t>给予资助，每家企业每年最高资助</w:t>
      </w:r>
      <w:r>
        <w:rPr>
          <w:rFonts w:ascii="仿宋_GB2312" w:hAnsi="Times New Roman" w:eastAsia="仿宋_GB2312" w:cs="Times New Roman"/>
          <w:sz w:val="32"/>
          <w:szCs w:val="32"/>
          <w:highlight w:val="none"/>
        </w:rPr>
        <w:t>300</w:t>
      </w:r>
      <w:r>
        <w:rPr>
          <w:rFonts w:hint="eastAsia" w:ascii="仿宋_GB2312" w:hAnsi="Times New Roman" w:eastAsia="仿宋_GB2312" w:cs="Times New Roman"/>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仿宋_GB2312" w:cs="Times New Roman"/>
          <w:sz w:val="32"/>
          <w:highlight w:val="none"/>
        </w:rPr>
      </w:pPr>
      <w:r>
        <w:rPr>
          <w:rFonts w:ascii="仿宋_GB2312" w:hAnsi="Times New Roman" w:eastAsia="仿宋_GB2312" w:cs="Times New Roman"/>
          <w:sz w:val="32"/>
          <w:szCs w:val="32"/>
          <w:highlight w:val="none"/>
        </w:rPr>
        <w:t>2.</w:t>
      </w:r>
      <w:r>
        <w:rPr>
          <w:rFonts w:hint="eastAsia" w:ascii="仿宋_GB2312" w:hAnsi="Times New Roman" w:eastAsia="仿宋_GB2312" w:cs="Times New Roman"/>
          <w:sz w:val="32"/>
          <w:szCs w:val="32"/>
          <w:highlight w:val="none"/>
        </w:rPr>
        <w:t>对成立</w:t>
      </w:r>
      <w:r>
        <w:rPr>
          <w:rFonts w:ascii="仿宋_GB2312" w:hAnsi="Times New Roman" w:eastAsia="仿宋_GB2312" w:cs="Times New Roman"/>
          <w:sz w:val="32"/>
          <w:szCs w:val="32"/>
          <w:highlight w:val="none"/>
        </w:rPr>
        <w:t>5</w:t>
      </w:r>
      <w:r>
        <w:rPr>
          <w:rFonts w:hint="eastAsia" w:ascii="仿宋_GB2312" w:hAnsi="Times New Roman" w:eastAsia="仿宋_GB2312" w:cs="Times New Roman"/>
          <w:sz w:val="32"/>
          <w:szCs w:val="32"/>
          <w:highlight w:val="none"/>
        </w:rPr>
        <w:t>年以内，近</w:t>
      </w:r>
      <w:r>
        <w:rPr>
          <w:rFonts w:ascii="仿宋_GB2312" w:hAnsi="Times New Roman" w:eastAsia="仿宋_GB2312" w:cs="Times New Roman"/>
          <w:sz w:val="32"/>
          <w:szCs w:val="32"/>
          <w:highlight w:val="none"/>
        </w:rPr>
        <w:t>3</w:t>
      </w:r>
      <w:r>
        <w:rPr>
          <w:rFonts w:hint="eastAsia" w:ascii="仿宋_GB2312" w:hAnsi="Times New Roman" w:eastAsia="仿宋_GB2312" w:cs="Times New Roman"/>
          <w:sz w:val="32"/>
          <w:szCs w:val="32"/>
          <w:highlight w:val="none"/>
        </w:rPr>
        <w:t>年累计获得投资机构</w:t>
      </w:r>
      <w:r>
        <w:rPr>
          <w:rFonts w:ascii="仿宋_GB2312" w:hAnsi="Times New Roman" w:eastAsia="仿宋_GB2312" w:cs="Times New Roman"/>
          <w:sz w:val="32"/>
          <w:szCs w:val="32"/>
          <w:highlight w:val="none"/>
        </w:rPr>
        <w:t>1</w:t>
      </w:r>
      <w:r>
        <w:rPr>
          <w:rFonts w:hint="eastAsia" w:ascii="仿宋_GB2312" w:hAnsi="Times New Roman" w:eastAsia="仿宋_GB2312" w:cs="Times New Roman"/>
          <w:sz w:val="32"/>
          <w:szCs w:val="32"/>
          <w:highlight w:val="none"/>
        </w:rPr>
        <w:t>亿元以上投资额的高成长科技型企业，给予一次性</w:t>
      </w:r>
      <w:r>
        <w:rPr>
          <w:rFonts w:ascii="仿宋_GB2312" w:hAnsi="Times New Roman" w:eastAsia="仿宋_GB2312" w:cs="Times New Roman"/>
          <w:sz w:val="32"/>
          <w:szCs w:val="32"/>
          <w:highlight w:val="none"/>
        </w:rPr>
        <w:t>100</w:t>
      </w:r>
      <w:r>
        <w:rPr>
          <w:rFonts w:hint="eastAsia" w:ascii="仿宋_GB2312" w:hAnsi="Times New Roman" w:eastAsia="仿宋_GB2312" w:cs="Times New Roman"/>
          <w:sz w:val="32"/>
          <w:szCs w:val="32"/>
          <w:highlight w:val="none"/>
        </w:rPr>
        <w:t>万元资助。</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contextualSpacing/>
        <w:jc w:val="both"/>
        <w:textAlignment w:val="auto"/>
        <w:rPr>
          <w:rFonts w:ascii="仿宋_GB2312" w:hAnsi="Times New Roman" w:eastAsia="仿宋_GB2312" w:cs="Times New Roman"/>
          <w:kern w:val="2"/>
          <w:sz w:val="32"/>
          <w:szCs w:val="32"/>
          <w:highlight w:val="none"/>
          <w:lang w:val="en-US" w:eastAsia="zh-CN" w:bidi="ar-SA"/>
        </w:rPr>
      </w:pPr>
      <w:r>
        <w:rPr>
          <w:rFonts w:hint="eastAsia" w:ascii="仿宋_GB2312" w:hAnsi="Times New Roman" w:eastAsia="仿宋_GB2312" w:cs="Times New Roman"/>
          <w:kern w:val="2"/>
          <w:sz w:val="32"/>
          <w:szCs w:val="32"/>
          <w:highlight w:val="none"/>
          <w:lang w:val="en-US" w:eastAsia="zh-CN" w:bidi="ar-SA"/>
        </w:rPr>
        <w:t>获得</w:t>
      </w:r>
      <w:r>
        <w:rPr>
          <w:rFonts w:hint="default" w:ascii="仿宋_GB2312" w:hAnsi="Times New Roman" w:eastAsia="仿宋_GB2312" w:cs="Times New Roman"/>
          <w:kern w:val="2"/>
          <w:sz w:val="32"/>
          <w:szCs w:val="32"/>
          <w:highlight w:val="none"/>
          <w:lang w:val="en-US" w:eastAsia="zh-CN" w:bidi="ar-SA"/>
        </w:rPr>
        <w:t>本项</w:t>
      </w:r>
      <w:r>
        <w:rPr>
          <w:rFonts w:hint="eastAsia" w:ascii="仿宋_GB2312" w:hAnsi="Times New Roman" w:eastAsia="仿宋_GB2312" w:cs="Times New Roman"/>
          <w:kern w:val="2"/>
          <w:sz w:val="32"/>
          <w:szCs w:val="32"/>
          <w:highlight w:val="none"/>
          <w:lang w:val="en-US" w:eastAsia="zh-CN" w:bidi="ar-SA"/>
        </w:rPr>
        <w:t>第</w:t>
      </w:r>
      <w:r>
        <w:rPr>
          <w:rFonts w:ascii="仿宋_GB2312" w:hAnsi="Times New Roman" w:eastAsia="仿宋_GB2312" w:cs="Times New Roman"/>
          <w:kern w:val="2"/>
          <w:sz w:val="32"/>
          <w:szCs w:val="32"/>
          <w:highlight w:val="none"/>
          <w:lang w:val="en-US" w:eastAsia="zh-CN" w:bidi="ar-SA"/>
        </w:rPr>
        <w:t>1</w:t>
      </w:r>
      <w:r>
        <w:rPr>
          <w:rFonts w:hint="eastAsia" w:ascii="仿宋_GB2312" w:hAnsi="Times New Roman" w:eastAsia="仿宋_GB2312" w:cs="Times New Roman"/>
          <w:kern w:val="2"/>
          <w:sz w:val="32"/>
          <w:szCs w:val="32"/>
          <w:highlight w:val="none"/>
          <w:lang w:val="en-US" w:eastAsia="zh-CN" w:bidi="ar-SA"/>
        </w:rPr>
        <w:t>、</w:t>
      </w:r>
      <w:r>
        <w:rPr>
          <w:rFonts w:ascii="仿宋_GB2312" w:hAnsi="Times New Roman" w:eastAsia="仿宋_GB2312" w:cs="Times New Roman"/>
          <w:kern w:val="2"/>
          <w:sz w:val="32"/>
          <w:szCs w:val="32"/>
          <w:highlight w:val="none"/>
          <w:lang w:val="en-US" w:eastAsia="zh-CN" w:bidi="ar-SA"/>
        </w:rPr>
        <w:t>2</w:t>
      </w:r>
      <w:r>
        <w:rPr>
          <w:rFonts w:hint="eastAsia" w:ascii="仿宋_GB2312" w:hAnsi="Times New Roman" w:eastAsia="仿宋_GB2312" w:cs="Times New Roman"/>
          <w:kern w:val="2"/>
          <w:sz w:val="32"/>
          <w:szCs w:val="32"/>
          <w:highlight w:val="none"/>
          <w:lang w:val="en-US" w:eastAsia="zh-CN" w:bidi="ar-SA"/>
        </w:rPr>
        <w:t>两点政策支持的企业</w:t>
      </w:r>
      <w:r>
        <w:rPr>
          <w:rFonts w:ascii="仿宋_GB2312" w:hAnsi="Times New Roman" w:eastAsia="仿宋_GB2312" w:cs="Times New Roman"/>
          <w:color w:val="000000"/>
          <w:kern w:val="2"/>
          <w:sz w:val="32"/>
          <w:szCs w:val="32"/>
          <w:highlight w:val="none"/>
          <w:lang w:val="en-US" w:eastAsia="zh-CN" w:bidi="ar-SA"/>
        </w:rPr>
        <w:t>当年</w:t>
      </w:r>
      <w:r>
        <w:rPr>
          <w:rFonts w:hint="eastAsia" w:ascii="仿宋_GB2312" w:hAnsi="Times New Roman" w:eastAsia="仿宋_GB2312" w:cs="Times New Roman"/>
          <w:kern w:val="2"/>
          <w:sz w:val="32"/>
          <w:szCs w:val="32"/>
          <w:highlight w:val="none"/>
          <w:lang w:val="en-US" w:eastAsia="zh-CN" w:bidi="ar-SA"/>
        </w:rPr>
        <w:t>可在南山科技金融在线平台申请贷款贴息额度20%的提升。</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contextualSpacing/>
        <w:textAlignment w:val="auto"/>
        <w:rPr>
          <w:rFonts w:ascii="仿宋_GB2312" w:hAnsi="Times New Roman" w:eastAsia="仿宋_GB2312" w:cs="Times New Roman"/>
          <w:sz w:val="32"/>
          <w:szCs w:val="32"/>
          <w:highlight w:val="none"/>
        </w:rPr>
      </w:pPr>
      <w:r>
        <w:rPr>
          <w:rFonts w:hint="default" w:ascii="仿宋_GB2312" w:hAnsi="Times New Roman" w:eastAsia="仿宋_GB2312" w:cs="Times New Roman"/>
          <w:sz w:val="32"/>
          <w:szCs w:val="32"/>
          <w:highlight w:val="none"/>
        </w:rPr>
        <w:t>本项</w:t>
      </w:r>
      <w:r>
        <w:rPr>
          <w:rFonts w:ascii="仿宋_GB2312" w:hAnsi="Times New Roman" w:eastAsia="仿宋_GB2312" w:cs="Times New Roman"/>
          <w:sz w:val="32"/>
          <w:szCs w:val="32"/>
          <w:highlight w:val="none"/>
        </w:rPr>
        <w:t>第1</w:t>
      </w:r>
      <w:r>
        <w:rPr>
          <w:rFonts w:hint="eastAsia" w:ascii="仿宋_GB2312" w:hAnsi="Times New Roman" w:eastAsia="仿宋_GB2312" w:cs="Times New Roman"/>
          <w:sz w:val="32"/>
          <w:szCs w:val="32"/>
          <w:highlight w:val="none"/>
        </w:rPr>
        <w:t>、</w:t>
      </w:r>
      <w:r>
        <w:rPr>
          <w:rFonts w:ascii="仿宋_GB2312" w:hAnsi="Times New Roman" w:eastAsia="仿宋_GB2312" w:cs="Times New Roman"/>
          <w:sz w:val="32"/>
          <w:szCs w:val="32"/>
          <w:highlight w:val="none"/>
        </w:rPr>
        <w:t>2</w:t>
      </w:r>
      <w:r>
        <w:rPr>
          <w:rFonts w:hint="eastAsia" w:ascii="仿宋_GB2312" w:hAnsi="Times New Roman" w:eastAsia="仿宋_GB2312" w:cs="Times New Roman"/>
          <w:sz w:val="32"/>
          <w:szCs w:val="32"/>
          <w:highlight w:val="none"/>
        </w:rPr>
        <w:t>两点政策所指投资机构为深圳市、区两级股权投资平台，或上一年度清科排名或投中排名前100的投资机构。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Times New Roman" w:eastAsia="仿宋_GB2312" w:cs="Times New Roman"/>
          <w:bCs/>
          <w:kern w:val="44"/>
          <w:sz w:val="32"/>
          <w:szCs w:val="32"/>
          <w:highlight w:val="none"/>
        </w:rPr>
      </w:pPr>
      <w:r>
        <w:rPr>
          <w:rFonts w:hint="eastAsia" w:ascii="仿宋_GB2312" w:hAnsi="Times New Roman" w:eastAsia="仿宋_GB2312" w:cs="Times New Roman"/>
          <w:sz w:val="32"/>
          <w:szCs w:val="32"/>
          <w:highlight w:val="none"/>
        </w:rPr>
        <w:t>同一家企业同一年度均符合本项第</w:t>
      </w:r>
      <w:r>
        <w:rPr>
          <w:rFonts w:ascii="仿宋_GB2312" w:hAnsi="Times New Roman" w:eastAsia="仿宋_GB2312" w:cs="Times New Roman"/>
          <w:sz w:val="32"/>
          <w:szCs w:val="32"/>
          <w:highlight w:val="none"/>
        </w:rPr>
        <w:t>1</w:t>
      </w:r>
      <w:r>
        <w:rPr>
          <w:rFonts w:hint="eastAsia" w:ascii="仿宋_GB2312" w:hAnsi="Times New Roman" w:eastAsia="仿宋_GB2312" w:cs="Times New Roman"/>
          <w:sz w:val="32"/>
          <w:szCs w:val="32"/>
          <w:highlight w:val="none"/>
        </w:rPr>
        <w:t>、</w:t>
      </w:r>
      <w:r>
        <w:rPr>
          <w:rFonts w:ascii="仿宋_GB2312" w:hAnsi="Times New Roman" w:eastAsia="仿宋_GB2312" w:cs="Times New Roman"/>
          <w:sz w:val="32"/>
          <w:szCs w:val="32"/>
          <w:highlight w:val="none"/>
        </w:rPr>
        <w:t>2</w:t>
      </w:r>
      <w:r>
        <w:rPr>
          <w:rFonts w:hint="eastAsia" w:ascii="仿宋_GB2312" w:hAnsi="Times New Roman" w:eastAsia="仿宋_GB2312" w:cs="Times New Roman"/>
          <w:sz w:val="32"/>
          <w:szCs w:val="32"/>
          <w:highlight w:val="none"/>
        </w:rPr>
        <w:t>两点政策，按照就高不就低原则，不重复支持</w:t>
      </w:r>
      <w:r>
        <w:rPr>
          <w:rFonts w:hint="eastAsia" w:ascii="仿宋_GB2312" w:hAnsi="Times New Roman" w:eastAsia="仿宋_GB2312" w:cs="Times New Roman"/>
          <w:bCs/>
          <w:kern w:val="44"/>
          <w:sz w:val="32"/>
          <w:szCs w:val="32"/>
          <w:highlight w:val="none"/>
        </w:rPr>
        <w:t>。</w:t>
      </w:r>
    </w:p>
    <w:p>
      <w:pPr>
        <w:keepNext w:val="0"/>
        <w:keepLines w:val="0"/>
        <w:pageBreakBefore w:val="0"/>
        <w:widowControl w:val="0"/>
        <w:wordWrap/>
        <w:topLinePunct w:val="0"/>
        <w:bidi w:val="0"/>
        <w:spacing w:beforeAutospacing="0" w:afterAutospacing="0" w:line="560" w:lineRule="exact"/>
        <w:ind w:left="0" w:leftChars="0" w:firstLine="643" w:firstLineChars="200"/>
        <w:rPr>
          <w:rFonts w:hint="eastAsia" w:ascii="楷体_GB2312" w:hAnsi="楷体_GB2312" w:eastAsia="楷体_GB2312" w:cs="楷体_GB2312"/>
          <w:b/>
          <w:color w:val="auto"/>
          <w:sz w:val="32"/>
          <w:szCs w:val="24"/>
          <w:highlight w:val="none"/>
          <w:lang w:val="en-US" w:eastAsia="zh-CN"/>
        </w:rPr>
      </w:pPr>
      <w:bookmarkStart w:id="75" w:name="_Toc32619"/>
      <w:bookmarkStart w:id="76" w:name="_Toc28029"/>
      <w:r>
        <w:rPr>
          <w:rFonts w:hint="eastAsia" w:ascii="楷体_GB2312" w:hAnsi="楷体_GB2312" w:eastAsia="楷体_GB2312" w:cs="楷体_GB2312"/>
          <w:b/>
          <w:color w:val="auto"/>
          <w:sz w:val="32"/>
          <w:szCs w:val="24"/>
          <w:highlight w:val="none"/>
          <w:lang w:val="en-US" w:eastAsia="zh-CN"/>
        </w:rPr>
        <w:t>第十四条  成熟期企业并购支持</w:t>
      </w:r>
      <w:bookmarkEnd w:id="75"/>
      <w:bookmarkEnd w:id="76"/>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仿宋_GB2312" w:hAnsi="楷体_GB2312" w:eastAsia="仿宋_GB2312" w:cs="楷体_GB2312"/>
          <w:b w:val="0"/>
          <w:bCs/>
          <w:kern w:val="2"/>
          <w:sz w:val="32"/>
          <w:szCs w:val="32"/>
          <w:highlight w:val="none"/>
          <w:lang w:val="en-US" w:eastAsia="zh-CN" w:bidi="ar-SA"/>
        </w:rPr>
      </w:pPr>
      <w:r>
        <w:rPr>
          <w:rFonts w:hint="eastAsia" w:ascii="仿宋_GB2312" w:hAnsi="仿宋_GB2312" w:eastAsia="仿宋_GB2312" w:cs="仿宋_GB2312"/>
          <w:b w:val="0"/>
          <w:bCs/>
          <w:color w:val="auto"/>
          <w:kern w:val="2"/>
          <w:sz w:val="32"/>
          <w:szCs w:val="32"/>
          <w:highlight w:val="none"/>
          <w:lang w:val="en-US" w:eastAsia="zh-CN" w:bidi="ar-SA"/>
        </w:rPr>
        <w:t>支持企业开展并购，并购对象符合南山区产业发展方向且成功引进本区的，按并购金额的5‰给予资助，每家企业每年最高资助100万元。</w:t>
      </w:r>
    </w:p>
    <w:p>
      <w:pPr>
        <w:keepNext w:val="0"/>
        <w:keepLines w:val="0"/>
        <w:pageBreakBefore w:val="0"/>
        <w:widowControl w:val="0"/>
        <w:wordWrap/>
        <w:topLinePunct w:val="0"/>
        <w:bidi w:val="0"/>
        <w:spacing w:beforeAutospacing="0" w:afterAutospacing="0" w:line="560" w:lineRule="exact"/>
        <w:ind w:left="0" w:leftChars="0" w:firstLine="643" w:firstLineChars="200"/>
        <w:rPr>
          <w:rFonts w:hint="eastAsia" w:ascii="楷体_GB2312" w:hAnsi="楷体_GB2312" w:eastAsia="楷体_GB2312" w:cs="楷体_GB2312"/>
          <w:b/>
          <w:color w:val="auto"/>
          <w:sz w:val="32"/>
          <w:szCs w:val="24"/>
          <w:highlight w:val="none"/>
          <w:lang w:val="en-US" w:eastAsia="zh-CN"/>
        </w:rPr>
      </w:pPr>
      <w:bookmarkStart w:id="77" w:name="_Toc11000"/>
      <w:bookmarkStart w:id="78" w:name="_Toc28589"/>
      <w:bookmarkStart w:id="79" w:name="_Toc93932053"/>
      <w:bookmarkStart w:id="80" w:name="_Toc94259822"/>
      <w:r>
        <w:rPr>
          <w:rFonts w:hint="eastAsia" w:ascii="楷体_GB2312" w:hAnsi="楷体_GB2312" w:eastAsia="楷体_GB2312" w:cs="楷体_GB2312"/>
          <w:b/>
          <w:color w:val="auto"/>
          <w:sz w:val="32"/>
          <w:szCs w:val="24"/>
          <w:highlight w:val="none"/>
          <w:lang w:val="en-US" w:eastAsia="zh-CN"/>
        </w:rPr>
        <w:t>第十五条  联合创新基金支持计划</w:t>
      </w:r>
      <w:bookmarkEnd w:id="77"/>
      <w:bookmarkEnd w:id="78"/>
      <w:bookmarkEnd w:id="79"/>
      <w:bookmarkEnd w:id="80"/>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ascii="仿宋_GB2312" w:hAnsi="楷体_GB2312" w:eastAsia="仿宋_GB2312" w:cs="楷体_GB2312"/>
          <w:kern w:val="2"/>
          <w:sz w:val="32"/>
          <w:szCs w:val="32"/>
          <w:highlight w:val="none"/>
          <w:lang w:val="en-US" w:eastAsia="zh-CN" w:bidi="ar-SA"/>
        </w:rPr>
      </w:pPr>
      <w:r>
        <w:rPr>
          <w:rFonts w:hint="eastAsia" w:ascii="仿宋_GB2312" w:hAnsi="楷体_GB2312" w:eastAsia="仿宋_GB2312" w:cs="楷体_GB2312"/>
          <w:kern w:val="2"/>
          <w:sz w:val="32"/>
          <w:szCs w:val="32"/>
          <w:highlight w:val="none"/>
          <w:lang w:val="en-US" w:eastAsia="zh-CN" w:bidi="ar-SA"/>
        </w:rPr>
        <w:t>（一）</w:t>
      </w:r>
      <w:r>
        <w:rPr>
          <w:rFonts w:hint="eastAsia" w:ascii="仿宋_GB2312" w:hAnsi="楷体_GB2312" w:eastAsia="仿宋_GB2312" w:cs="楷体_GB2312"/>
          <w:kern w:val="2"/>
          <w:sz w:val="32"/>
          <w:szCs w:val="32"/>
          <w:highlight w:val="none"/>
          <w:lang w:val="en-US" w:eastAsia="zh-Hans" w:bidi="ar-SA"/>
        </w:rPr>
        <w:t>支持区内企业联合国家自然科学基金委设立国家自然科学基金企业创新发展联合基金，对南山区内参与设立企业创新发展联合基金的企业按照其每年实际出资额的</w:t>
      </w:r>
      <w:r>
        <w:rPr>
          <w:rFonts w:ascii="仿宋_GB2312" w:hAnsi="楷体_GB2312" w:eastAsia="仿宋_GB2312" w:cs="楷体_GB2312"/>
          <w:kern w:val="2"/>
          <w:sz w:val="32"/>
          <w:szCs w:val="32"/>
          <w:highlight w:val="none"/>
          <w:lang w:val="en-US" w:eastAsia="zh-CN" w:bidi="ar-SA"/>
        </w:rPr>
        <w:t>50%给予奖励，</w:t>
      </w:r>
      <w:r>
        <w:rPr>
          <w:rFonts w:hint="eastAsia" w:ascii="仿宋_GB2312" w:hAnsi="楷体_GB2312" w:eastAsia="仿宋_GB2312" w:cs="楷体_GB2312"/>
          <w:kern w:val="2"/>
          <w:sz w:val="32"/>
          <w:szCs w:val="32"/>
          <w:highlight w:val="none"/>
          <w:lang w:val="en-US" w:eastAsia="zh-CN" w:bidi="ar-SA"/>
        </w:rPr>
        <w:t>每年奖励金额最高</w:t>
      </w:r>
      <w:r>
        <w:rPr>
          <w:rFonts w:ascii="仿宋_GB2312" w:hAnsi="楷体_GB2312" w:eastAsia="仿宋_GB2312" w:cs="楷体_GB2312"/>
          <w:kern w:val="2"/>
          <w:sz w:val="32"/>
          <w:szCs w:val="32"/>
          <w:highlight w:val="none"/>
          <w:lang w:val="en-US" w:eastAsia="zh-CN" w:bidi="ar-SA"/>
        </w:rPr>
        <w:t>2000</w:t>
      </w:r>
      <w:r>
        <w:rPr>
          <w:rFonts w:hint="eastAsia" w:ascii="仿宋_GB2312" w:hAnsi="楷体_GB2312" w:eastAsia="仿宋_GB2312" w:cs="楷体_GB2312"/>
          <w:kern w:val="2"/>
          <w:sz w:val="32"/>
          <w:szCs w:val="32"/>
          <w:highlight w:val="none"/>
          <w:lang w:val="en-US" w:eastAsia="zh-CN" w:bidi="ar-SA"/>
        </w:rPr>
        <w:t>万元，连续奖励时间不超过3</w:t>
      </w:r>
      <w:r>
        <w:rPr>
          <w:rFonts w:ascii="仿宋_GB2312" w:hAnsi="楷体_GB2312" w:eastAsia="仿宋_GB2312" w:cs="楷体_GB2312"/>
          <w:kern w:val="2"/>
          <w:sz w:val="32"/>
          <w:szCs w:val="32"/>
          <w:highlight w:val="none"/>
          <w:lang w:val="en-US" w:eastAsia="zh-CN" w:bidi="ar-SA"/>
        </w:rPr>
        <w:t>年。</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仿宋_GB2312" w:hAnsi="楷体_GB2312" w:eastAsia="仿宋_GB2312" w:cs="楷体_GB2312"/>
          <w:kern w:val="2"/>
          <w:sz w:val="32"/>
          <w:szCs w:val="32"/>
          <w:highlight w:val="none"/>
          <w:lang w:val="en-US" w:eastAsia="zh-CN" w:bidi="ar-SA"/>
        </w:rPr>
      </w:pPr>
      <w:r>
        <w:rPr>
          <w:rFonts w:hint="eastAsia" w:ascii="仿宋_GB2312" w:hAnsi="楷体_GB2312" w:eastAsia="仿宋_GB2312" w:cs="楷体_GB2312"/>
          <w:kern w:val="2"/>
          <w:sz w:val="32"/>
          <w:szCs w:val="32"/>
          <w:highlight w:val="none"/>
          <w:lang w:val="en-US" w:eastAsia="zh-CN" w:bidi="ar-SA"/>
        </w:rPr>
        <w:t>（二）支持区内企业联合广东省科学技术厅、广东省基础与应用基础研究基金委员会设立广东省基础与应用基础研究基金企业联合基金，对南山区内参与设立省企联合基金的企业按照其每年实际出资额的</w:t>
      </w:r>
      <w:r>
        <w:rPr>
          <w:rFonts w:ascii="仿宋_GB2312" w:hAnsi="楷体_GB2312" w:eastAsia="仿宋_GB2312" w:cs="楷体_GB2312"/>
          <w:kern w:val="2"/>
          <w:sz w:val="32"/>
          <w:szCs w:val="32"/>
          <w:highlight w:val="none"/>
          <w:lang w:val="en-US" w:eastAsia="zh-CN" w:bidi="ar-SA"/>
        </w:rPr>
        <w:t>50%给予</w:t>
      </w:r>
      <w:r>
        <w:rPr>
          <w:rFonts w:hint="eastAsia" w:ascii="仿宋_GB2312" w:hAnsi="楷体_GB2312" w:eastAsia="仿宋_GB2312" w:cs="楷体_GB2312"/>
          <w:kern w:val="2"/>
          <w:sz w:val="32"/>
          <w:szCs w:val="32"/>
          <w:highlight w:val="none"/>
          <w:lang w:val="en-US" w:eastAsia="zh-CN" w:bidi="ar-SA"/>
        </w:rPr>
        <w:t>奖励，每年奖励金额最高</w:t>
      </w:r>
      <w:r>
        <w:rPr>
          <w:rFonts w:ascii="仿宋_GB2312" w:hAnsi="楷体_GB2312" w:eastAsia="仿宋_GB2312" w:cs="楷体_GB2312"/>
          <w:kern w:val="2"/>
          <w:sz w:val="32"/>
          <w:szCs w:val="32"/>
          <w:highlight w:val="none"/>
          <w:lang w:val="en-US" w:eastAsia="zh-CN" w:bidi="ar-SA"/>
        </w:rPr>
        <w:t>1000</w:t>
      </w:r>
      <w:r>
        <w:rPr>
          <w:rFonts w:hint="eastAsia" w:ascii="仿宋_GB2312" w:hAnsi="楷体_GB2312" w:eastAsia="仿宋_GB2312" w:cs="楷体_GB2312"/>
          <w:kern w:val="2"/>
          <w:sz w:val="32"/>
          <w:szCs w:val="32"/>
          <w:highlight w:val="none"/>
          <w:lang w:val="en-US" w:eastAsia="zh-CN" w:bidi="ar-SA"/>
        </w:rPr>
        <w:t>万元，连续奖励时间不超过3</w:t>
      </w:r>
      <w:r>
        <w:rPr>
          <w:rFonts w:ascii="仿宋_GB2312" w:hAnsi="楷体_GB2312" w:eastAsia="仿宋_GB2312" w:cs="楷体_GB2312"/>
          <w:kern w:val="2"/>
          <w:sz w:val="32"/>
          <w:szCs w:val="32"/>
          <w:highlight w:val="none"/>
          <w:lang w:val="en-US" w:eastAsia="zh-CN" w:bidi="ar-SA"/>
        </w:rPr>
        <w:t>年</w:t>
      </w:r>
      <w:r>
        <w:rPr>
          <w:rFonts w:hint="eastAsia" w:ascii="仿宋_GB2312" w:hAnsi="楷体_GB2312" w:eastAsia="仿宋_GB2312" w:cs="楷体_GB2312"/>
          <w:kern w:val="2"/>
          <w:sz w:val="32"/>
          <w:szCs w:val="32"/>
          <w:highlight w:val="none"/>
          <w:lang w:val="en-US" w:eastAsia="zh-CN" w:bidi="ar-SA"/>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left="0" w:leftChars="0"/>
        <w:jc w:val="center"/>
        <w:textAlignment w:val="auto"/>
        <w:rPr>
          <w:rFonts w:hint="eastAsia"/>
          <w:color w:val="auto"/>
          <w:sz w:val="32"/>
          <w:szCs w:val="32"/>
          <w:highlight w:val="none"/>
          <w:lang w:val="en-US" w:eastAsia="zh-CN"/>
        </w:rPr>
      </w:pPr>
      <w:bookmarkStart w:id="81" w:name="_Toc15124"/>
      <w:bookmarkStart w:id="82" w:name="_Toc30788"/>
      <w:bookmarkStart w:id="83" w:name="_Toc18403"/>
      <w:bookmarkStart w:id="84" w:name="_Toc15141"/>
      <w:bookmarkStart w:id="85" w:name="_Toc6070"/>
      <w:bookmarkStart w:id="86" w:name="_Toc28676"/>
      <w:bookmarkStart w:id="87" w:name="_Toc26332"/>
      <w:bookmarkStart w:id="88" w:name="_Toc11361"/>
      <w:bookmarkStart w:id="89" w:name="_Toc10184"/>
      <w:bookmarkStart w:id="90" w:name="_Toc7591"/>
      <w:bookmarkStart w:id="91" w:name="_Toc31962"/>
      <w:bookmarkStart w:id="92" w:name="_Toc5415"/>
    </w:p>
    <w:bookmarkEnd w:id="81"/>
    <w:bookmarkEnd w:id="82"/>
    <w:bookmarkEnd w:id="83"/>
    <w:bookmarkEnd w:id="84"/>
    <w:bookmarkEnd w:id="85"/>
    <w:bookmarkEnd w:id="86"/>
    <w:bookmarkEnd w:id="87"/>
    <w:bookmarkEnd w:id="88"/>
    <w:bookmarkEnd w:id="89"/>
    <w:bookmarkEnd w:id="90"/>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left="0" w:leftChars="0"/>
        <w:jc w:val="center"/>
        <w:textAlignment w:val="auto"/>
        <w:rPr>
          <w:rFonts w:hint="eastAsia"/>
          <w:color w:val="auto"/>
          <w:sz w:val="32"/>
          <w:szCs w:val="32"/>
          <w:highlight w:val="none"/>
          <w:lang w:val="en-US" w:eastAsia="zh-CN"/>
        </w:rPr>
      </w:pPr>
      <w:r>
        <w:rPr>
          <w:rFonts w:hint="eastAsia"/>
          <w:color w:val="auto"/>
          <w:sz w:val="32"/>
          <w:szCs w:val="32"/>
          <w:highlight w:val="none"/>
          <w:lang w:val="en-US" w:eastAsia="zh-CN"/>
        </w:rPr>
        <w:t>第四章  支持企业上市融资</w:t>
      </w:r>
      <w:bookmarkEnd w:id="91"/>
      <w:bookmarkEnd w:id="92"/>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textAlignment w:val="auto"/>
        <w:rPr>
          <w:rFonts w:hint="eastAsia"/>
          <w:highlight w:val="none"/>
          <w:lang w:val="en-US" w:eastAsia="zh-CN"/>
        </w:rPr>
      </w:pPr>
      <w:bookmarkStart w:id="93" w:name="_Toc10566"/>
      <w:bookmarkStart w:id="94" w:name="_Toc15924"/>
      <w:bookmarkStart w:id="95" w:name="_Toc4653"/>
      <w:bookmarkStart w:id="96" w:name="_Toc6690"/>
      <w:bookmarkStart w:id="97" w:name="_Toc84849430"/>
      <w:bookmarkStart w:id="98" w:name="_Toc16702"/>
      <w:bookmarkStart w:id="99" w:name="_Toc5659"/>
      <w:bookmarkStart w:id="100" w:name="_Toc24606"/>
      <w:bookmarkStart w:id="101" w:name="_Toc1325"/>
      <w:bookmarkStart w:id="102" w:name="_Toc22417"/>
      <w:bookmarkStart w:id="103" w:name="_Toc19237_WPSOffice_Level2"/>
      <w:bookmarkStart w:id="104" w:name="_Toc32381"/>
    </w:p>
    <w:bookmarkEnd w:id="93"/>
    <w:bookmarkEnd w:id="94"/>
    <w:bookmarkEnd w:id="95"/>
    <w:bookmarkEnd w:id="96"/>
    <w:bookmarkEnd w:id="97"/>
    <w:bookmarkEnd w:id="98"/>
    <w:bookmarkEnd w:id="99"/>
    <w:bookmarkEnd w:id="100"/>
    <w:bookmarkEnd w:id="101"/>
    <w:bookmarkEnd w:id="102"/>
    <w:bookmarkEnd w:id="103"/>
    <w:bookmarkEnd w:id="104"/>
    <w:p>
      <w:pPr>
        <w:keepNext w:val="0"/>
        <w:keepLines w:val="0"/>
        <w:pageBreakBefore w:val="0"/>
        <w:widowControl w:val="0"/>
        <w:wordWrap/>
        <w:topLinePunct w:val="0"/>
        <w:bidi w:val="0"/>
        <w:spacing w:beforeAutospacing="0" w:afterAutospacing="0" w:line="560" w:lineRule="exact"/>
        <w:ind w:left="0" w:leftChars="0" w:firstLine="643" w:firstLineChars="200"/>
        <w:rPr>
          <w:rFonts w:hint="eastAsia" w:ascii="楷体_GB2312" w:hAnsi="楷体_GB2312" w:eastAsia="楷体_GB2312" w:cs="楷体_GB2312"/>
          <w:b/>
          <w:color w:val="auto"/>
          <w:sz w:val="32"/>
          <w:szCs w:val="24"/>
          <w:highlight w:val="none"/>
          <w:lang w:val="en-US" w:eastAsia="zh-CN"/>
        </w:rPr>
      </w:pPr>
      <w:bookmarkStart w:id="105" w:name="_Toc84849429"/>
      <w:bookmarkStart w:id="106" w:name="_Toc25038"/>
      <w:bookmarkStart w:id="107" w:name="_Toc25990"/>
      <w:bookmarkStart w:id="108" w:name="_Toc5124"/>
      <w:bookmarkStart w:id="109" w:name="_Toc23706"/>
      <w:bookmarkStart w:id="110" w:name="_Toc2634"/>
      <w:bookmarkStart w:id="111" w:name="_Toc5162"/>
      <w:bookmarkStart w:id="112" w:name="_Toc5253"/>
      <w:bookmarkStart w:id="113" w:name="_Toc21781"/>
      <w:bookmarkStart w:id="114" w:name="_Toc7703"/>
      <w:bookmarkStart w:id="115" w:name="_Toc8621"/>
      <w:bookmarkStart w:id="116" w:name="_Toc25313"/>
      <w:bookmarkStart w:id="117" w:name="_Toc19086"/>
      <w:r>
        <w:rPr>
          <w:rFonts w:hint="eastAsia" w:ascii="楷体_GB2312" w:hAnsi="楷体_GB2312" w:eastAsia="楷体_GB2312" w:cs="楷体_GB2312"/>
          <w:b/>
          <w:color w:val="auto"/>
          <w:sz w:val="32"/>
          <w:szCs w:val="24"/>
          <w:highlight w:val="none"/>
          <w:lang w:val="en-US" w:eastAsia="zh-CN"/>
        </w:rPr>
        <w:t>第十六条</w:t>
      </w:r>
      <w:r>
        <w:rPr>
          <w:rFonts w:hint="eastAsia" w:ascii="楷体_GB2312" w:hAnsi="楷体_GB2312" w:eastAsia="楷体_GB2312" w:cs="楷体_GB2312"/>
          <w:b/>
          <w:color w:val="auto"/>
          <w:sz w:val="32"/>
          <w:szCs w:val="24"/>
          <w:highlight w:val="none"/>
          <w:lang w:val="en-US" w:eastAsia="zh-CN"/>
        </w:rPr>
        <w:fldChar w:fldCharType="begin"/>
      </w:r>
      <w:r>
        <w:rPr>
          <w:rFonts w:hint="eastAsia" w:ascii="楷体_GB2312" w:hAnsi="楷体_GB2312" w:eastAsia="楷体_GB2312" w:cs="楷体_GB2312"/>
          <w:b/>
          <w:color w:val="auto"/>
          <w:sz w:val="32"/>
          <w:szCs w:val="24"/>
          <w:highlight w:val="none"/>
          <w:lang w:val="en-US" w:eastAsia="zh-CN"/>
        </w:rPr>
        <w:instrText xml:space="preserve"> HYPERLINK \l "_Toc16314" </w:instrText>
      </w:r>
      <w:r>
        <w:rPr>
          <w:rFonts w:hint="eastAsia" w:ascii="楷体_GB2312" w:hAnsi="楷体_GB2312" w:eastAsia="楷体_GB2312" w:cs="楷体_GB2312"/>
          <w:b/>
          <w:color w:val="auto"/>
          <w:sz w:val="32"/>
          <w:szCs w:val="24"/>
          <w:highlight w:val="none"/>
          <w:lang w:val="en-US" w:eastAsia="zh-CN"/>
        </w:rPr>
        <w:fldChar w:fldCharType="separate"/>
      </w:r>
      <w:r>
        <w:rPr>
          <w:rFonts w:hint="eastAsia" w:ascii="楷体_GB2312" w:hAnsi="楷体_GB2312" w:eastAsia="楷体_GB2312" w:cs="楷体_GB2312"/>
          <w:b/>
          <w:color w:val="auto"/>
          <w:sz w:val="32"/>
          <w:szCs w:val="24"/>
          <w:highlight w:val="none"/>
          <w:lang w:val="en-US" w:eastAsia="zh-CN"/>
        </w:rPr>
        <w:t xml:space="preserve">  支持优质企业上市</w:t>
      </w:r>
      <w:bookmarkEnd w:id="105"/>
      <w:r>
        <w:rPr>
          <w:rFonts w:hint="eastAsia" w:ascii="楷体_GB2312" w:hAnsi="楷体_GB2312" w:eastAsia="楷体_GB2312" w:cs="楷体_GB2312"/>
          <w:b/>
          <w:color w:val="auto"/>
          <w:sz w:val="32"/>
          <w:szCs w:val="24"/>
          <w:highlight w:val="none"/>
          <w:lang w:val="en-US" w:eastAsia="zh-CN"/>
        </w:rPr>
        <w:fldChar w:fldCharType="end"/>
      </w:r>
      <w:bookmarkEnd w:id="106"/>
      <w:bookmarkEnd w:id="107"/>
      <w:bookmarkEnd w:id="108"/>
      <w:bookmarkEnd w:id="109"/>
      <w:bookmarkEnd w:id="110"/>
      <w:bookmarkEnd w:id="111"/>
      <w:bookmarkEnd w:id="112"/>
      <w:bookmarkEnd w:id="113"/>
      <w:bookmarkEnd w:id="114"/>
      <w:bookmarkEnd w:id="115"/>
      <w:bookmarkEnd w:id="116"/>
      <w:bookmarkEnd w:id="117"/>
    </w:p>
    <w:p>
      <w:pPr>
        <w:keepNext w:val="0"/>
        <w:keepLines w:val="0"/>
        <w:pageBreakBefore w:val="0"/>
        <w:widowControl w:val="0"/>
        <w:kinsoku/>
        <w:wordWrap/>
        <w:topLinePunct w:val="0"/>
        <w:autoSpaceDE/>
        <w:bidi w:val="0"/>
        <w:spacing w:beforeAutospacing="0" w:afterAutospacing="0" w:line="560" w:lineRule="exact"/>
        <w:ind w:left="0" w:leftChars="0" w:firstLine="643" w:firstLineChars="200"/>
        <w:textAlignment w:val="auto"/>
        <w:rPr>
          <w:rFonts w:hint="eastAsia" w:ascii="仿宋_GB2312" w:eastAsia="仿宋_GB2312" w:cs="Times New Roman"/>
          <w:b/>
          <w:color w:val="auto"/>
          <w:sz w:val="32"/>
          <w:highlight w:val="none"/>
        </w:rPr>
      </w:pPr>
      <w:bookmarkStart w:id="118" w:name="_Toc11067"/>
      <w:bookmarkStart w:id="119" w:name="_Toc5796"/>
      <w:r>
        <w:rPr>
          <w:rFonts w:hint="eastAsia" w:ascii="仿宋_GB2312" w:eastAsia="仿宋_GB2312" w:cs="Times New Roman"/>
          <w:b/>
          <w:color w:val="auto"/>
          <w:sz w:val="32"/>
          <w:highlight w:val="none"/>
        </w:rPr>
        <w:t>（一）境内上市企业扶持</w:t>
      </w:r>
    </w:p>
    <w:p>
      <w:pPr>
        <w:keepNext w:val="0"/>
        <w:keepLines w:val="0"/>
        <w:pageBreakBefore w:val="0"/>
        <w:widowControl w:val="0"/>
        <w:kinsoku/>
        <w:wordWrap/>
        <w:topLinePunct w:val="0"/>
        <w:autoSpaceDE/>
        <w:bidi w:val="0"/>
        <w:spacing w:beforeAutospacing="0" w:afterAutospacing="0" w:line="560" w:lineRule="exact"/>
        <w:ind w:left="0" w:leftChars="0" w:firstLine="640" w:firstLineChars="200"/>
        <w:textAlignment w:val="auto"/>
        <w:rPr>
          <w:rFonts w:hint="eastAsia" w:eastAsia="仿宋_GB2312"/>
          <w:color w:val="auto"/>
          <w:sz w:val="32"/>
          <w:highlight w:val="none"/>
        </w:rPr>
      </w:pPr>
      <w:r>
        <w:rPr>
          <w:rFonts w:hint="eastAsia" w:eastAsia="仿宋_GB2312"/>
          <w:color w:val="auto"/>
          <w:sz w:val="32"/>
          <w:highlight w:val="none"/>
        </w:rPr>
        <w:t>1.对计划在沪深交易所上市的企业，最高给予500万元奖励。其中，已完成股份制改造，最高给予60万元奖励；已完成上市辅导验收，并获上市申请受理的企业，最高给予240万元奖励；成功上市后，最高给予100万元奖励，若募集资金超过50%（含）以上投资于南山区的，再次给予最高100万元奖励。</w:t>
      </w:r>
    </w:p>
    <w:p>
      <w:pPr>
        <w:keepNext w:val="0"/>
        <w:keepLines w:val="0"/>
        <w:pageBreakBefore w:val="0"/>
        <w:widowControl w:val="0"/>
        <w:kinsoku/>
        <w:wordWrap/>
        <w:topLinePunct w:val="0"/>
        <w:autoSpaceDE/>
        <w:bidi w:val="0"/>
        <w:spacing w:beforeAutospacing="0" w:afterAutospacing="0" w:line="560" w:lineRule="exact"/>
        <w:ind w:left="0" w:leftChars="0" w:firstLine="640" w:firstLineChars="200"/>
        <w:textAlignment w:val="auto"/>
        <w:rPr>
          <w:rFonts w:hint="eastAsia" w:eastAsia="仿宋_GB2312"/>
          <w:color w:val="auto"/>
          <w:sz w:val="32"/>
          <w:highlight w:val="none"/>
        </w:rPr>
      </w:pPr>
      <w:r>
        <w:rPr>
          <w:rFonts w:hint="eastAsia" w:eastAsia="仿宋_GB2312"/>
          <w:color w:val="auto"/>
          <w:sz w:val="32"/>
          <w:highlight w:val="none"/>
        </w:rPr>
        <w:t>2.对首次在“新三板”挂牌的企业给予最高60万元奖励，进入创新层且挂牌满一年再给予最高40万元奖励；计划在北交所上市，已完成上市辅导验收，并获上市申请受理的企业，最高给予200万元奖励；在北交所成功上市的企业，最高给予100万元奖励，若募集资金超过50%（含）以上投资</w:t>
      </w:r>
      <w:r>
        <w:rPr>
          <w:rFonts w:hint="eastAsia" w:eastAsia="仿宋_GB2312"/>
          <w:color w:val="auto"/>
          <w:sz w:val="32"/>
          <w:highlight w:val="none"/>
          <w:lang w:eastAsia="zh-CN"/>
        </w:rPr>
        <w:t>于</w:t>
      </w:r>
      <w:r>
        <w:rPr>
          <w:rFonts w:hint="eastAsia" w:eastAsia="仿宋_GB2312"/>
          <w:color w:val="auto"/>
          <w:sz w:val="32"/>
          <w:highlight w:val="none"/>
        </w:rPr>
        <w:t>南山区的，再次给予最高100万元奖励。</w:t>
      </w:r>
    </w:p>
    <w:p>
      <w:pPr>
        <w:keepNext w:val="0"/>
        <w:keepLines w:val="0"/>
        <w:pageBreakBefore w:val="0"/>
        <w:widowControl w:val="0"/>
        <w:kinsoku/>
        <w:wordWrap/>
        <w:topLinePunct w:val="0"/>
        <w:autoSpaceDE/>
        <w:bidi w:val="0"/>
        <w:spacing w:beforeAutospacing="0" w:afterAutospacing="0" w:line="560" w:lineRule="exact"/>
        <w:ind w:left="0" w:leftChars="0" w:firstLine="643" w:firstLineChars="200"/>
        <w:textAlignment w:val="auto"/>
        <w:rPr>
          <w:rFonts w:hint="eastAsia" w:ascii="仿宋_GB2312" w:eastAsia="仿宋_GB2312" w:cs="Times New Roman"/>
          <w:b/>
          <w:color w:val="auto"/>
          <w:sz w:val="32"/>
          <w:highlight w:val="none"/>
        </w:rPr>
      </w:pPr>
      <w:r>
        <w:rPr>
          <w:rFonts w:hint="eastAsia" w:ascii="仿宋_GB2312" w:eastAsia="仿宋_GB2312" w:cs="Times New Roman"/>
          <w:b/>
          <w:color w:val="auto"/>
          <w:sz w:val="32"/>
          <w:highlight w:val="none"/>
        </w:rPr>
        <w:t>（二）境外上市企业扶持</w:t>
      </w:r>
    </w:p>
    <w:p>
      <w:pPr>
        <w:keepNext w:val="0"/>
        <w:keepLines w:val="0"/>
        <w:pageBreakBefore w:val="0"/>
        <w:widowControl w:val="0"/>
        <w:kinsoku/>
        <w:wordWrap/>
        <w:topLinePunct w:val="0"/>
        <w:autoSpaceDE/>
        <w:bidi w:val="0"/>
        <w:spacing w:beforeAutospacing="0" w:afterAutospacing="0" w:line="560" w:lineRule="exact"/>
        <w:ind w:left="0" w:leftChars="0" w:firstLine="640" w:firstLineChars="200"/>
        <w:textAlignment w:val="auto"/>
        <w:rPr>
          <w:rFonts w:hint="eastAsia" w:eastAsia="仿宋_GB2312"/>
          <w:color w:val="auto"/>
          <w:sz w:val="32"/>
          <w:highlight w:val="none"/>
        </w:rPr>
      </w:pPr>
      <w:r>
        <w:rPr>
          <w:rFonts w:hint="eastAsia" w:eastAsia="仿宋_GB2312"/>
          <w:color w:val="auto"/>
          <w:sz w:val="32"/>
          <w:highlight w:val="none"/>
        </w:rPr>
        <w:t>对直接在境外证券交易所成功上市的企业，最高给予400万元奖励；通过红筹、协议控制等间接方式在境外证券交易所成功上市的企业，最高给予300万元奖励</w:t>
      </w:r>
      <w:r>
        <w:rPr>
          <w:rFonts w:hint="eastAsia" w:eastAsia="仿宋_GB2312"/>
          <w:color w:val="auto"/>
          <w:sz w:val="32"/>
          <w:highlight w:val="none"/>
          <w:lang w:eastAsia="zh-CN"/>
        </w:rPr>
        <w:t>。</w:t>
      </w:r>
      <w:r>
        <w:rPr>
          <w:rFonts w:hint="eastAsia" w:eastAsia="仿宋_GB2312"/>
          <w:color w:val="auto"/>
          <w:sz w:val="32"/>
          <w:highlight w:val="none"/>
        </w:rPr>
        <w:t>若募集资金超过50%（含）以上投资于南山区的，再次给予最高100万元奖励。</w:t>
      </w:r>
    </w:p>
    <w:p>
      <w:pPr>
        <w:keepNext w:val="0"/>
        <w:keepLines w:val="0"/>
        <w:pageBreakBefore w:val="0"/>
        <w:widowControl w:val="0"/>
        <w:kinsoku/>
        <w:wordWrap/>
        <w:topLinePunct w:val="0"/>
        <w:autoSpaceDE/>
        <w:bidi w:val="0"/>
        <w:spacing w:beforeAutospacing="0" w:afterAutospacing="0" w:line="560" w:lineRule="exact"/>
        <w:ind w:left="0" w:leftChars="0" w:firstLine="640" w:firstLineChars="200"/>
        <w:textAlignment w:val="auto"/>
        <w:rPr>
          <w:rFonts w:hint="eastAsia" w:eastAsia="仿宋_GB2312"/>
          <w:color w:val="auto"/>
          <w:sz w:val="32"/>
          <w:highlight w:val="none"/>
          <w:lang w:eastAsia="zh-CN"/>
        </w:rPr>
      </w:pPr>
      <w:r>
        <w:rPr>
          <w:rFonts w:hint="eastAsia" w:eastAsia="仿宋_GB2312"/>
          <w:color w:val="auto"/>
          <w:sz w:val="32"/>
          <w:highlight w:val="none"/>
        </w:rPr>
        <w:t>此项目资金可用于企业经营发展、公司高管及骨干团队激励</w:t>
      </w:r>
      <w:r>
        <w:rPr>
          <w:rFonts w:hint="eastAsia" w:eastAsia="仿宋_GB2312"/>
          <w:color w:val="auto"/>
          <w:sz w:val="32"/>
          <w:highlight w:val="none"/>
          <w:lang w:eastAsia="zh-CN"/>
        </w:rPr>
        <w:t>。</w:t>
      </w:r>
    </w:p>
    <w:p>
      <w:pPr>
        <w:keepNext w:val="0"/>
        <w:keepLines w:val="0"/>
        <w:pageBreakBefore w:val="0"/>
        <w:widowControl w:val="0"/>
        <w:wordWrap/>
        <w:topLinePunct w:val="0"/>
        <w:bidi w:val="0"/>
        <w:spacing w:beforeAutospacing="0" w:afterAutospacing="0" w:line="560" w:lineRule="exact"/>
        <w:ind w:left="0" w:leftChars="0" w:firstLine="643" w:firstLineChars="200"/>
        <w:rPr>
          <w:rFonts w:hint="eastAsia" w:ascii="楷体_GB2312" w:hAnsi="楷体_GB2312" w:eastAsia="楷体_GB2312" w:cs="楷体_GB2312"/>
          <w:b/>
          <w:color w:val="auto"/>
          <w:sz w:val="32"/>
          <w:szCs w:val="24"/>
          <w:highlight w:val="none"/>
          <w:lang w:val="en-US" w:eastAsia="zh-CN"/>
        </w:rPr>
      </w:pPr>
      <w:r>
        <w:rPr>
          <w:rFonts w:hint="eastAsia" w:ascii="楷体_GB2312" w:hAnsi="楷体_GB2312" w:eastAsia="楷体_GB2312" w:cs="楷体_GB2312"/>
          <w:b/>
          <w:color w:val="auto"/>
          <w:sz w:val="32"/>
          <w:szCs w:val="24"/>
          <w:highlight w:val="none"/>
          <w:lang w:val="en-US" w:eastAsia="zh-CN"/>
        </w:rPr>
        <w:t>第十七条  上市辅导费用支持</w:t>
      </w:r>
      <w:bookmarkEnd w:id="118"/>
      <w:bookmarkEnd w:id="119"/>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经证监部门辅导备案登记后，对完成公开发行之前支付的会计审计费、资产评估费、法律服务费、券商辅导保荐费等中介费用，按上年度不超过实际发生费用的50%给予补助，每家企业资助资金不超过100万元，资助期最高3年。</w:t>
      </w:r>
    </w:p>
    <w:p>
      <w:pPr>
        <w:keepNext w:val="0"/>
        <w:keepLines w:val="0"/>
        <w:pageBreakBefore w:val="0"/>
        <w:widowControl w:val="0"/>
        <w:wordWrap/>
        <w:topLinePunct w:val="0"/>
        <w:bidi w:val="0"/>
        <w:spacing w:beforeAutospacing="0" w:afterAutospacing="0" w:line="560" w:lineRule="exact"/>
        <w:ind w:left="0" w:leftChars="0" w:firstLine="643" w:firstLineChars="200"/>
        <w:rPr>
          <w:rFonts w:hint="eastAsia" w:ascii="楷体_GB2312" w:hAnsi="楷体_GB2312" w:eastAsia="楷体_GB2312" w:cs="楷体_GB2312"/>
          <w:b/>
          <w:color w:val="auto"/>
          <w:sz w:val="32"/>
          <w:szCs w:val="24"/>
          <w:highlight w:val="none"/>
          <w:lang w:val="en-US" w:eastAsia="zh-CN"/>
        </w:rPr>
      </w:pPr>
      <w:bookmarkStart w:id="120" w:name="_Toc1561"/>
      <w:bookmarkStart w:id="121" w:name="_Toc28085"/>
      <w:bookmarkStart w:id="122" w:name="_Toc2089"/>
      <w:bookmarkStart w:id="123" w:name="_Toc13497"/>
      <w:bookmarkStart w:id="124" w:name="_Toc4270"/>
      <w:bookmarkStart w:id="125" w:name="_Toc22980"/>
      <w:bookmarkStart w:id="126" w:name="_Toc28877"/>
      <w:bookmarkStart w:id="127" w:name="_Toc15390"/>
      <w:bookmarkStart w:id="128" w:name="_Toc23880"/>
      <w:bookmarkStart w:id="129" w:name="_Toc19416"/>
      <w:r>
        <w:rPr>
          <w:rFonts w:hint="eastAsia" w:ascii="楷体_GB2312" w:hAnsi="楷体_GB2312" w:eastAsia="楷体_GB2312" w:cs="楷体_GB2312"/>
          <w:b/>
          <w:color w:val="auto"/>
          <w:sz w:val="32"/>
          <w:szCs w:val="24"/>
          <w:highlight w:val="none"/>
          <w:lang w:val="en-US" w:eastAsia="zh-CN"/>
        </w:rPr>
        <w:t>第十八条  上市募投融资项目支持</w:t>
      </w:r>
      <w:bookmarkEnd w:id="120"/>
      <w:bookmarkEnd w:id="121"/>
      <w:bookmarkEnd w:id="122"/>
      <w:bookmarkEnd w:id="123"/>
      <w:bookmarkEnd w:id="124"/>
      <w:bookmarkEnd w:id="125"/>
      <w:bookmarkEnd w:id="126"/>
      <w:bookmarkEnd w:id="127"/>
      <w:bookmarkEnd w:id="128"/>
      <w:bookmarkEnd w:id="129"/>
    </w:p>
    <w:p>
      <w:pPr>
        <w:keepNext w:val="0"/>
        <w:keepLines w:val="0"/>
        <w:pageBreakBefore w:val="0"/>
        <w:widowControl w:val="0"/>
        <w:kinsoku/>
        <w:wordWrap/>
        <w:topLinePunct w:val="0"/>
        <w:autoSpaceDE/>
        <w:bidi w:val="0"/>
        <w:spacing w:beforeAutospacing="0" w:afterAutospacing="0" w:line="56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bookmarkStart w:id="130" w:name="_Toc21512_WPSOffice_Level2"/>
      <w:bookmarkStart w:id="131" w:name="_Toc84849431"/>
      <w:bookmarkStart w:id="132" w:name="_Toc22410"/>
      <w:bookmarkStart w:id="133" w:name="_Toc28908"/>
      <w:bookmarkStart w:id="134" w:name="_Toc5991"/>
      <w:bookmarkStart w:id="135" w:name="_Toc26741"/>
      <w:bookmarkStart w:id="136" w:name="_Toc4116"/>
      <w:bookmarkStart w:id="137" w:name="_Toc5012"/>
      <w:bookmarkStart w:id="138" w:name="_Toc23687"/>
      <w:bookmarkStart w:id="139" w:name="_Toc8409"/>
      <w:bookmarkStart w:id="140" w:name="_Toc1358"/>
      <w:bookmarkStart w:id="141" w:name="_Toc27387"/>
      <w:bookmarkStart w:id="142" w:name="_Toc7428"/>
      <w:bookmarkStart w:id="143" w:name="_Toc17702"/>
      <w:r>
        <w:rPr>
          <w:rFonts w:hint="eastAsia" w:ascii="仿宋_GB2312" w:hAnsi="仿宋_GB2312" w:eastAsia="仿宋_GB2312" w:cs="仿宋_GB2312"/>
          <w:color w:val="auto"/>
          <w:sz w:val="32"/>
          <w:szCs w:val="32"/>
          <w:highlight w:val="none"/>
          <w:lang w:eastAsia="zh-CN"/>
        </w:rPr>
        <w:t>支持上市企业将其在资本市场上市首发融资项目与再融资项目在南山区实施，按投资额的2‰予以奖励，最高不超过</w:t>
      </w:r>
      <w:r>
        <w:rPr>
          <w:rFonts w:hint="eastAsia" w:ascii="仿宋_GB2312" w:hAnsi="仿宋_GB2312" w:eastAsia="仿宋_GB2312" w:cs="仿宋_GB2312"/>
          <w:color w:val="auto"/>
          <w:sz w:val="32"/>
          <w:szCs w:val="32"/>
          <w:highlight w:val="none"/>
          <w:lang w:val="en-US" w:eastAsia="zh-CN"/>
        </w:rPr>
        <w:t>1000</w:t>
      </w:r>
      <w:r>
        <w:rPr>
          <w:rFonts w:hint="eastAsia" w:ascii="仿宋_GB2312" w:hAnsi="仿宋_GB2312" w:eastAsia="仿宋_GB2312" w:cs="仿宋_GB2312"/>
          <w:color w:val="auto"/>
          <w:sz w:val="32"/>
          <w:szCs w:val="32"/>
          <w:highlight w:val="none"/>
          <w:lang w:eastAsia="zh-CN"/>
        </w:rPr>
        <w:t>万元。</w:t>
      </w:r>
    </w:p>
    <w:p>
      <w:pPr>
        <w:keepNext w:val="0"/>
        <w:keepLines w:val="0"/>
        <w:pageBreakBefore w:val="0"/>
        <w:widowControl w:val="0"/>
        <w:wordWrap/>
        <w:topLinePunct w:val="0"/>
        <w:bidi w:val="0"/>
        <w:spacing w:beforeAutospacing="0" w:afterAutospacing="0" w:line="560" w:lineRule="exact"/>
        <w:ind w:left="0" w:leftChars="0" w:firstLine="643" w:firstLineChars="200"/>
        <w:rPr>
          <w:rFonts w:hint="eastAsia" w:ascii="楷体_GB2312" w:hAnsi="楷体_GB2312" w:eastAsia="楷体_GB2312" w:cs="楷体_GB2312"/>
          <w:b/>
          <w:color w:val="auto"/>
          <w:sz w:val="32"/>
          <w:szCs w:val="24"/>
          <w:highlight w:val="none"/>
          <w:lang w:val="en-US" w:eastAsia="zh-CN"/>
        </w:rPr>
      </w:pPr>
      <w:r>
        <w:rPr>
          <w:rFonts w:hint="eastAsia" w:ascii="楷体_GB2312" w:hAnsi="楷体_GB2312" w:eastAsia="楷体_GB2312" w:cs="楷体_GB2312"/>
          <w:b/>
          <w:color w:val="auto"/>
          <w:sz w:val="32"/>
          <w:szCs w:val="24"/>
          <w:highlight w:val="none"/>
          <w:lang w:val="en-US" w:eastAsia="zh-CN"/>
        </w:rPr>
        <w:t>第十九</w:t>
      </w:r>
      <w:r>
        <w:rPr>
          <w:rFonts w:hint="eastAsia" w:ascii="楷体_GB2312" w:hAnsi="楷体_GB2312" w:eastAsia="楷体_GB2312" w:cs="楷体_GB2312"/>
          <w:b/>
          <w:color w:val="auto"/>
          <w:sz w:val="32"/>
          <w:szCs w:val="24"/>
          <w:highlight w:val="none"/>
          <w:lang w:eastAsia="zh-CN"/>
        </w:rPr>
        <w:t>条</w:t>
      </w:r>
      <w:r>
        <w:rPr>
          <w:rFonts w:hint="eastAsia" w:ascii="楷体_GB2312" w:hAnsi="楷体_GB2312" w:eastAsia="楷体_GB2312" w:cs="楷体_GB2312"/>
          <w:b/>
          <w:color w:val="auto"/>
          <w:sz w:val="32"/>
          <w:szCs w:val="24"/>
          <w:highlight w:val="none"/>
          <w:lang w:val="en-US" w:eastAsia="zh-CN"/>
        </w:rPr>
        <w:fldChar w:fldCharType="begin"/>
      </w:r>
      <w:r>
        <w:rPr>
          <w:rFonts w:hint="eastAsia" w:ascii="楷体_GB2312" w:hAnsi="楷体_GB2312" w:eastAsia="楷体_GB2312" w:cs="楷体_GB2312"/>
          <w:b/>
          <w:color w:val="auto"/>
          <w:sz w:val="32"/>
          <w:szCs w:val="24"/>
          <w:highlight w:val="none"/>
          <w:lang w:val="en-US" w:eastAsia="zh-CN"/>
        </w:rPr>
        <w:instrText xml:space="preserve"> HYPERLINK </w:instrText>
      </w:r>
      <w:bookmarkEnd w:id="130"/>
      <w:r>
        <w:rPr>
          <w:rFonts w:hint="eastAsia" w:ascii="楷体_GB2312" w:hAnsi="楷体_GB2312" w:eastAsia="楷体_GB2312" w:cs="楷体_GB2312"/>
          <w:b/>
          <w:color w:val="auto"/>
          <w:sz w:val="32"/>
          <w:szCs w:val="24"/>
          <w:highlight w:val="none"/>
          <w:lang w:val="en-US" w:eastAsia="zh-CN"/>
        </w:rPr>
        <w:instrText xml:space="preserve">\l "_Toc4059" </w:instrText>
      </w:r>
      <w:r>
        <w:rPr>
          <w:rFonts w:hint="eastAsia" w:ascii="楷体_GB2312" w:hAnsi="楷体_GB2312" w:eastAsia="楷体_GB2312" w:cs="楷体_GB2312"/>
          <w:b/>
          <w:color w:val="auto"/>
          <w:sz w:val="32"/>
          <w:szCs w:val="24"/>
          <w:highlight w:val="none"/>
          <w:lang w:val="en-US" w:eastAsia="zh-CN"/>
        </w:rPr>
        <w:fldChar w:fldCharType="separate"/>
      </w:r>
      <w:r>
        <w:rPr>
          <w:rFonts w:hint="eastAsia" w:ascii="楷体_GB2312" w:hAnsi="楷体_GB2312" w:eastAsia="楷体_GB2312" w:cs="楷体_GB2312"/>
          <w:b/>
          <w:color w:val="auto"/>
          <w:sz w:val="32"/>
          <w:szCs w:val="24"/>
          <w:highlight w:val="none"/>
          <w:lang w:val="en-US" w:eastAsia="zh-CN"/>
        </w:rPr>
        <w:t xml:space="preserve">  支持上市企业并购重组</w:t>
      </w:r>
      <w:bookmarkEnd w:id="131"/>
      <w:r>
        <w:rPr>
          <w:rFonts w:hint="eastAsia" w:ascii="楷体_GB2312" w:hAnsi="楷体_GB2312" w:eastAsia="楷体_GB2312" w:cs="楷体_GB2312"/>
          <w:b/>
          <w:color w:val="auto"/>
          <w:sz w:val="32"/>
          <w:szCs w:val="24"/>
          <w:highlight w:val="none"/>
          <w:lang w:val="en-US" w:eastAsia="zh-CN"/>
        </w:rPr>
        <w:fldChar w:fldCharType="end"/>
      </w:r>
      <w:bookmarkEnd w:id="132"/>
      <w:bookmarkEnd w:id="133"/>
      <w:bookmarkEnd w:id="134"/>
      <w:bookmarkEnd w:id="135"/>
      <w:bookmarkEnd w:id="136"/>
      <w:bookmarkEnd w:id="137"/>
      <w:bookmarkEnd w:id="138"/>
      <w:bookmarkEnd w:id="139"/>
      <w:bookmarkEnd w:id="140"/>
      <w:bookmarkEnd w:id="141"/>
      <w:bookmarkEnd w:id="142"/>
      <w:bookmarkEnd w:id="143"/>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支持上市企业开展并购重组。在完成并购重组后，将并购企业工商注册及税务登记从外地迁入我区的，</w:t>
      </w:r>
      <w:r>
        <w:rPr>
          <w:rFonts w:hint="eastAsia" w:ascii="仿宋_GB2312" w:hAnsi="仿宋_GB2312" w:eastAsia="仿宋_GB2312" w:cs="仿宋_GB2312"/>
          <w:color w:val="auto"/>
          <w:sz w:val="32"/>
          <w:szCs w:val="32"/>
          <w:highlight w:val="none"/>
          <w:lang w:val="en-US" w:eastAsia="zh-CN"/>
        </w:rPr>
        <w:t>给予上市公司奖励</w:t>
      </w:r>
      <w:r>
        <w:rPr>
          <w:rFonts w:hint="eastAsia" w:ascii="仿宋_GB2312" w:hAnsi="仿宋_GB2312" w:eastAsia="仿宋_GB2312" w:cs="仿宋_GB2312"/>
          <w:color w:val="auto"/>
          <w:sz w:val="32"/>
          <w:szCs w:val="32"/>
          <w:highlight w:val="none"/>
        </w:rPr>
        <w:t>并购金额在1亿元（含）以上，5亿元（含）以下项目奖励100万元；5亿元以上，10亿元（含）以下项目奖励200万元；10亿元以上项目奖励300万元。</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textAlignment w:val="auto"/>
        <w:outlineLvl w:val="9"/>
        <w:rPr>
          <w:rFonts w:hint="eastAsia"/>
          <w:highlight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left="0" w:leftChars="0"/>
        <w:jc w:val="center"/>
        <w:textAlignment w:val="auto"/>
        <w:rPr>
          <w:rFonts w:hint="eastAsia"/>
          <w:color w:val="auto"/>
          <w:sz w:val="32"/>
          <w:szCs w:val="32"/>
          <w:highlight w:val="none"/>
          <w:lang w:val="en-US" w:eastAsia="zh-CN"/>
        </w:rPr>
      </w:pPr>
      <w:bookmarkStart w:id="144" w:name="_Toc10832"/>
      <w:bookmarkStart w:id="145" w:name="_Toc22622"/>
      <w:bookmarkStart w:id="146" w:name="_Toc20483"/>
      <w:bookmarkStart w:id="147" w:name="_Toc24156"/>
      <w:bookmarkStart w:id="148" w:name="_Toc12923"/>
      <w:bookmarkStart w:id="149" w:name="_Toc23495"/>
      <w:bookmarkStart w:id="150" w:name="_Toc22848"/>
      <w:bookmarkStart w:id="151" w:name="_Toc5290"/>
      <w:bookmarkStart w:id="152" w:name="_Toc1513"/>
      <w:bookmarkStart w:id="153" w:name="_Toc2001_WPSOffice_Level1"/>
      <w:bookmarkStart w:id="154" w:name="_Toc31698"/>
      <w:bookmarkStart w:id="155" w:name="_Toc22023"/>
      <w:bookmarkStart w:id="156" w:name="_Toc370"/>
      <w:r>
        <w:rPr>
          <w:rFonts w:hint="eastAsia"/>
          <w:color w:val="auto"/>
          <w:sz w:val="32"/>
          <w:szCs w:val="32"/>
          <w:highlight w:val="none"/>
          <w:lang w:val="en-US" w:eastAsia="zh-CN"/>
        </w:rPr>
        <w:t>第五章</w:t>
      </w:r>
      <w:bookmarkStart w:id="157" w:name="_Toc23457"/>
      <w:bookmarkStart w:id="158" w:name="_Toc12099"/>
      <w:r>
        <w:rPr>
          <w:rFonts w:hint="eastAsia"/>
          <w:color w:val="auto"/>
          <w:sz w:val="32"/>
          <w:szCs w:val="32"/>
          <w:highlight w:val="none"/>
          <w:lang w:val="en-US" w:eastAsia="zh-CN"/>
        </w:rPr>
        <w:t xml:space="preserve">  附  则</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textAlignment w:val="auto"/>
        <w:rPr>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hint="eastAsia" w:ascii="仿宋_GB2312" w:hAnsi="仿宋_GB2312" w:eastAsia="仿宋_GB2312" w:cs="仿宋_GB2312"/>
          <w:color w:val="auto"/>
          <w:sz w:val="32"/>
          <w:szCs w:val="32"/>
          <w:highlight w:val="none"/>
        </w:rPr>
      </w:pPr>
      <w:bookmarkStart w:id="159" w:name="_Toc30191"/>
      <w:r>
        <w:rPr>
          <w:rFonts w:hint="eastAsia" w:ascii="楷体_GB2312" w:hAnsi="楷体_GB2312" w:eastAsia="楷体_GB2312" w:cs="楷体_GB2312"/>
          <w:b/>
          <w:bCs w:val="0"/>
          <w:color w:val="auto"/>
          <w:sz w:val="32"/>
          <w:szCs w:val="24"/>
          <w:highlight w:val="none"/>
          <w:lang w:val="en-US" w:eastAsia="zh-CN"/>
        </w:rPr>
        <w:t>第二十条</w:t>
      </w:r>
      <w:r>
        <w:rPr>
          <w:rFonts w:hint="eastAsia" w:ascii="楷体_GB2312" w:hAnsi="楷体_GB2312" w:eastAsia="楷体_GB2312" w:cs="楷体_GB2312"/>
          <w:b/>
          <w:color w:val="auto"/>
          <w:sz w:val="32"/>
          <w:szCs w:val="24"/>
          <w:highlight w:val="none"/>
        </w:rPr>
        <w:t xml:space="preserve"> </w:t>
      </w:r>
      <w:r>
        <w:rPr>
          <w:rFonts w:hint="eastAsia" w:ascii="仿宋_GB2312" w:hAnsi="仿宋_GB2312" w:eastAsia="仿宋_GB2312" w:cs="仿宋_GB2312"/>
          <w:color w:val="auto"/>
          <w:sz w:val="32"/>
          <w:szCs w:val="32"/>
          <w:highlight w:val="none"/>
        </w:rPr>
        <w:t xml:space="preserve"> </w:t>
      </w:r>
      <w:bookmarkEnd w:id="159"/>
      <w:r>
        <w:rPr>
          <w:rFonts w:hint="eastAsia" w:ascii="仿宋_GB2312" w:hAnsi="仿宋_GB2312" w:eastAsia="仿宋_GB2312" w:cs="仿宋_GB2312"/>
          <w:color w:val="auto"/>
          <w:sz w:val="32"/>
          <w:szCs w:val="32"/>
          <w:highlight w:val="none"/>
        </w:rPr>
        <w:t>本措施尚未涵盖但对辖区经济发展有重要影响的事项或上级部门有明确要求的事项，由相关单位直接向区主管部门提出申请，主管部门提出受理意见，按“一事一议”的方式报区自主创新产业发展专项资金领导小组会议审议。</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hint="eastAsia" w:ascii="仿宋_GB2312" w:hAnsi="仿宋_GB2312" w:eastAsia="仿宋_GB2312" w:cs="仿宋_GB2312"/>
          <w:color w:val="auto"/>
          <w:sz w:val="32"/>
          <w:highlight w:val="none"/>
        </w:rPr>
      </w:pPr>
      <w:r>
        <w:rPr>
          <w:rFonts w:hint="eastAsia" w:ascii="楷体_GB2312" w:hAnsi="楷体_GB2312" w:eastAsia="楷体_GB2312" w:cs="楷体_GB2312"/>
          <w:b/>
          <w:bCs w:val="0"/>
          <w:color w:val="auto"/>
          <w:sz w:val="32"/>
          <w:szCs w:val="24"/>
          <w:highlight w:val="none"/>
          <w:lang w:val="en-US" w:eastAsia="zh-CN"/>
        </w:rPr>
        <w:t>第二十一条</w:t>
      </w:r>
      <w:r>
        <w:rPr>
          <w:rFonts w:hint="eastAsia" w:ascii="楷体_GB2312" w:hAnsi="楷体_GB2312" w:eastAsia="楷体_GB2312" w:cs="楷体_GB2312"/>
          <w:b/>
          <w:color w:val="auto"/>
          <w:sz w:val="32"/>
          <w:highlight w:val="none"/>
          <w:lang w:val="en-US" w:eastAsia="zh-CN"/>
        </w:rPr>
        <w:t xml:space="preserve"> </w:t>
      </w:r>
      <w:r>
        <w:rPr>
          <w:rFonts w:hint="eastAsia" w:ascii="仿宋_GB2312" w:hAnsi="仿宋_GB2312" w:eastAsia="仿宋_GB2312" w:cs="仿宋_GB2312"/>
          <w:color w:val="auto"/>
          <w:sz w:val="32"/>
          <w:highlight w:val="none"/>
          <w:lang w:val="en-US" w:eastAsia="zh-CN"/>
        </w:rPr>
        <w:t xml:space="preserve"> </w:t>
      </w:r>
      <w:r>
        <w:rPr>
          <w:rFonts w:hint="eastAsia" w:ascii="仿宋_GB2312" w:hAnsi="仿宋_GB2312" w:eastAsia="仿宋_GB2312" w:cs="仿宋_GB2312"/>
          <w:color w:val="auto"/>
          <w:sz w:val="32"/>
          <w:highlight w:val="none"/>
        </w:rPr>
        <w:t>本措施自发布之日起施行，有效期三年。</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bCs w:val="0"/>
          <w:color w:val="auto"/>
          <w:sz w:val="32"/>
          <w:szCs w:val="24"/>
          <w:highlight w:val="none"/>
        </w:rPr>
        <w:t>第</w:t>
      </w:r>
      <w:r>
        <w:rPr>
          <w:rFonts w:hint="eastAsia" w:ascii="楷体_GB2312" w:hAnsi="楷体_GB2312" w:eastAsia="楷体_GB2312" w:cs="楷体_GB2312"/>
          <w:b/>
          <w:bCs w:val="0"/>
          <w:color w:val="auto"/>
          <w:sz w:val="32"/>
          <w:szCs w:val="24"/>
          <w:highlight w:val="none"/>
          <w:lang w:eastAsia="zh-CN"/>
        </w:rPr>
        <w:t>二十</w:t>
      </w:r>
      <w:r>
        <w:rPr>
          <w:rFonts w:hint="eastAsia" w:ascii="楷体_GB2312" w:hAnsi="楷体_GB2312" w:eastAsia="楷体_GB2312" w:cs="楷体_GB2312"/>
          <w:b/>
          <w:bCs w:val="0"/>
          <w:color w:val="auto"/>
          <w:sz w:val="32"/>
          <w:szCs w:val="24"/>
          <w:highlight w:val="none"/>
          <w:lang w:val="en-US" w:eastAsia="zh-CN"/>
        </w:rPr>
        <w:t>二</w:t>
      </w:r>
      <w:r>
        <w:rPr>
          <w:rFonts w:hint="eastAsia" w:ascii="楷体_GB2312" w:hAnsi="楷体_GB2312" w:eastAsia="楷体_GB2312" w:cs="楷体_GB2312"/>
          <w:b/>
          <w:bCs w:val="0"/>
          <w:color w:val="auto"/>
          <w:sz w:val="32"/>
          <w:szCs w:val="24"/>
          <w:highlight w:val="none"/>
        </w:rPr>
        <w:t>条</w:t>
      </w:r>
      <w:r>
        <w:rPr>
          <w:rFonts w:hint="eastAsia" w:ascii="楷体_GB2312" w:hAnsi="楷体_GB2312" w:eastAsia="楷体_GB2312" w:cs="楷体_GB2312"/>
          <w:b/>
          <w:color w:val="auto"/>
          <w:sz w:val="32"/>
          <w:szCs w:val="24"/>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本措施由</w:t>
      </w:r>
      <w:r>
        <w:rPr>
          <w:rFonts w:hint="eastAsia" w:ascii="仿宋_GB2312" w:hAnsi="仿宋_GB2312" w:eastAsia="仿宋_GB2312" w:cs="仿宋_GB2312"/>
          <w:color w:val="auto"/>
          <w:sz w:val="32"/>
          <w:szCs w:val="32"/>
          <w:highlight w:val="none"/>
          <w:lang w:val="en-US" w:eastAsia="zh-CN"/>
        </w:rPr>
        <w:t>区科技创新局、区工业和信息化</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局（</w:t>
      </w:r>
      <w:r>
        <w:rPr>
          <w:rFonts w:hint="eastAsia" w:ascii="仿宋_GB2312" w:hAnsi="仿宋_GB2312" w:eastAsia="仿宋_GB2312" w:cs="仿宋_GB2312"/>
          <w:color w:val="auto"/>
          <w:sz w:val="32"/>
          <w:szCs w:val="32"/>
          <w:highlight w:val="none"/>
        </w:rPr>
        <w:t>区金融发展服务中心</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负责解释，制定与本措施相关的操作规程。</w:t>
      </w:r>
    </w:p>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br w:type="page"/>
      </w:r>
    </w:p>
    <w:p>
      <w:pPr>
        <w:keepNext w:val="0"/>
        <w:keepLines w:val="0"/>
        <w:pageBreakBefore w:val="0"/>
        <w:widowControl w:val="0"/>
        <w:wordWrap/>
        <w:topLinePunct w:val="0"/>
        <w:bidi w:val="0"/>
        <w:adjustRightInd/>
        <w:snapToGrid/>
        <w:spacing w:beforeAutospacing="0" w:afterAutospacing="0" w:line="560" w:lineRule="exact"/>
        <w:ind w:left="0" w:leftChars="0"/>
        <w:jc w:val="center"/>
        <w:rPr>
          <w:rFonts w:hint="eastAsia" w:ascii="方正小标宋简体" w:hAnsi="方正小标宋简体" w:eastAsia="方正小标宋简体" w:cs="方正小标宋简体"/>
          <w:color w:val="000000"/>
          <w:kern w:val="2"/>
          <w:sz w:val="44"/>
          <w:szCs w:val="44"/>
          <w:lang w:eastAsia="zh-CN"/>
        </w:rPr>
      </w:pPr>
      <w:r>
        <w:rPr>
          <w:rFonts w:hint="eastAsia" w:ascii="方正小标宋简体" w:hAnsi="方正小标宋简体" w:eastAsia="方正小标宋简体" w:cs="方正小标宋简体"/>
          <w:color w:val="000000"/>
          <w:kern w:val="2"/>
          <w:sz w:val="44"/>
          <w:szCs w:val="44"/>
          <w:lang w:eastAsia="zh-CN"/>
        </w:rPr>
        <w:t>南山区产业</w:t>
      </w:r>
      <w:r>
        <w:rPr>
          <w:rFonts w:hint="eastAsia" w:ascii="方正小标宋简体" w:hAnsi="方正小标宋简体" w:eastAsia="方正小标宋简体" w:cs="方正小标宋简体"/>
          <w:color w:val="000000"/>
          <w:kern w:val="2"/>
          <w:sz w:val="44"/>
          <w:szCs w:val="44"/>
        </w:rPr>
        <w:t>用房</w:t>
      </w:r>
      <w:r>
        <w:rPr>
          <w:rFonts w:hint="eastAsia" w:ascii="方正小标宋简体" w:hAnsi="方正小标宋简体" w:eastAsia="方正小标宋简体" w:cs="方正小标宋简体"/>
          <w:color w:val="000000"/>
          <w:kern w:val="2"/>
          <w:sz w:val="44"/>
          <w:szCs w:val="44"/>
          <w:lang w:eastAsia="zh-CN"/>
        </w:rPr>
        <w:t>扶持措施</w:t>
      </w:r>
    </w:p>
    <w:p>
      <w:pPr>
        <w:keepNext w:val="0"/>
        <w:keepLines w:val="0"/>
        <w:pageBreakBefore w:val="0"/>
        <w:widowControl w:val="0"/>
        <w:wordWrap/>
        <w:topLinePunct w:val="0"/>
        <w:bidi w:val="0"/>
        <w:adjustRightInd/>
        <w:snapToGrid/>
        <w:spacing w:beforeAutospacing="0" w:afterAutospacing="0" w:line="560" w:lineRule="exact"/>
        <w:ind w:left="0" w:leftChars="0"/>
        <w:jc w:val="center"/>
        <w:rPr>
          <w:rFonts w:hint="eastAsia" w:ascii="方正小标宋简体" w:hAnsi="方正小标宋简体" w:eastAsia="方正小标宋简体" w:cs="方正小标宋简体"/>
          <w:color w:val="000000"/>
          <w:kern w:val="2"/>
          <w:sz w:val="44"/>
          <w:szCs w:val="44"/>
        </w:rPr>
      </w:pPr>
      <w:r>
        <w:rPr>
          <w:rFonts w:hint="eastAsia" w:ascii="宋体" w:hAnsi="宋体" w:eastAsia="宋体" w:cs="宋体"/>
          <w:b/>
          <w:bCs/>
          <w:color w:val="000000"/>
          <w:kern w:val="2"/>
          <w:sz w:val="36"/>
          <w:szCs w:val="36"/>
        </w:rPr>
        <w:t>（征求意见稿）</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jc w:val="both"/>
        <w:textAlignment w:val="auto"/>
        <w:rPr>
          <w:rFonts w:hint="eastAsia" w:ascii="黑体" w:hAnsi="黑体" w:eastAsia="黑体" w:cs="宋体"/>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center"/>
        <w:textAlignment w:val="auto"/>
        <w:rPr>
          <w:rFonts w:hint="eastAsia" w:ascii="黑体" w:hAnsi="黑体" w:eastAsia="黑体" w:cs="宋体"/>
          <w:color w:val="000000"/>
          <w:sz w:val="32"/>
          <w:szCs w:val="32"/>
          <w:lang w:eastAsia="zh-CN"/>
        </w:rPr>
      </w:pPr>
      <w:r>
        <w:rPr>
          <w:rFonts w:hint="eastAsia" w:ascii="黑体" w:hAnsi="黑体" w:eastAsia="黑体" w:cs="宋体"/>
          <w:color w:val="000000"/>
          <w:sz w:val="32"/>
          <w:szCs w:val="32"/>
        </w:rPr>
        <w:t>第一</w:t>
      </w:r>
      <w:r>
        <w:rPr>
          <w:rFonts w:hint="eastAsia" w:ascii="黑体" w:hAnsi="黑体" w:eastAsia="黑体" w:cs="宋体"/>
          <w:color w:val="000000"/>
          <w:sz w:val="32"/>
          <w:szCs w:val="32"/>
          <w:lang w:eastAsia="zh-CN"/>
        </w:rPr>
        <w:t>章</w:t>
      </w:r>
      <w:r>
        <w:rPr>
          <w:rFonts w:hint="eastAsia" w:ascii="黑体" w:hAnsi="黑体" w:eastAsia="黑体" w:cs="宋体"/>
          <w:color w:val="000000"/>
          <w:sz w:val="32"/>
          <w:szCs w:val="32"/>
          <w:lang w:val="en-US" w:eastAsia="zh-CN"/>
        </w:rPr>
        <w:t xml:space="preserve">  </w:t>
      </w:r>
      <w:r>
        <w:rPr>
          <w:rFonts w:hint="eastAsia" w:ascii="黑体" w:hAnsi="黑体" w:eastAsia="黑体" w:cs="宋体"/>
          <w:color w:val="000000"/>
          <w:sz w:val="32"/>
          <w:szCs w:val="32"/>
          <w:lang w:eastAsia="zh-CN"/>
        </w:rPr>
        <w:t>总</w:t>
      </w:r>
      <w:r>
        <w:rPr>
          <w:rFonts w:hint="eastAsia" w:ascii="黑体" w:hAnsi="黑体" w:eastAsia="黑体" w:cs="宋体"/>
          <w:color w:val="000000"/>
          <w:sz w:val="32"/>
          <w:szCs w:val="32"/>
          <w:lang w:val="en-US" w:eastAsia="zh-CN"/>
        </w:rPr>
        <w:t xml:space="preserve">  </w:t>
      </w:r>
      <w:r>
        <w:rPr>
          <w:rFonts w:hint="eastAsia" w:ascii="黑体" w:hAnsi="黑体" w:eastAsia="黑体" w:cs="宋体"/>
          <w:color w:val="000000"/>
          <w:sz w:val="32"/>
          <w:szCs w:val="32"/>
          <w:lang w:eastAsia="zh-CN"/>
        </w:rPr>
        <w:t>则</w:t>
      </w:r>
    </w:p>
    <w:p>
      <w:pPr>
        <w:keepNext w:val="0"/>
        <w:keepLines w:val="0"/>
        <w:pageBreakBefore w:val="0"/>
        <w:widowControl w:val="0"/>
        <w:kinsoku/>
        <w:wordWrap/>
        <w:overflowPunct/>
        <w:topLinePunct w:val="0"/>
        <w:autoSpaceDE/>
        <w:bidi w:val="0"/>
        <w:spacing w:beforeAutospacing="0" w:afterAutospacing="0" w:line="560" w:lineRule="exact"/>
        <w:ind w:left="0" w:leftChars="0" w:firstLine="643" w:firstLineChars="200"/>
        <w:jc w:val="both"/>
        <w:textAlignment w:val="auto"/>
        <w:rPr>
          <w:rFonts w:hint="eastAsia" w:ascii="仿宋_GB2312" w:hAnsi="仿宋" w:eastAsia="仿宋_GB2312"/>
          <w:b/>
          <w:bCs/>
          <w:sz w:val="32"/>
          <w:szCs w:val="32"/>
          <w:lang w:eastAsia="zh-CN"/>
        </w:rPr>
      </w:pPr>
    </w:p>
    <w:p>
      <w:pPr>
        <w:keepNext w:val="0"/>
        <w:keepLines w:val="0"/>
        <w:pageBreakBefore w:val="0"/>
        <w:widowControl w:val="0"/>
        <w:kinsoku/>
        <w:wordWrap/>
        <w:overflowPunct/>
        <w:topLinePunct w:val="0"/>
        <w:autoSpaceDE/>
        <w:bidi w:val="0"/>
        <w:spacing w:beforeAutospacing="0" w:afterAutospacing="0" w:line="560" w:lineRule="exact"/>
        <w:ind w:left="0" w:leftChars="0" w:firstLine="643" w:firstLineChars="200"/>
        <w:jc w:val="both"/>
        <w:textAlignment w:val="auto"/>
        <w:rPr>
          <w:rFonts w:hint="eastAsia" w:ascii="仿宋_GB2312" w:hAnsi="仿宋" w:eastAsia="仿宋_GB2312"/>
          <w:sz w:val="32"/>
          <w:szCs w:val="32"/>
        </w:rPr>
      </w:pPr>
      <w:r>
        <w:rPr>
          <w:rFonts w:hint="eastAsia" w:ascii="楷体_GB2312" w:hAnsi="楷体_GB2312" w:eastAsia="楷体_GB2312" w:cs="楷体_GB2312"/>
          <w:b/>
          <w:bCs w:val="0"/>
          <w:color w:val="auto"/>
          <w:kern w:val="2"/>
          <w:sz w:val="32"/>
          <w:szCs w:val="24"/>
          <w:highlight w:val="none"/>
          <w:lang w:eastAsia="zh-CN"/>
        </w:rPr>
        <w:t>第一条</w:t>
      </w:r>
      <w:r>
        <w:rPr>
          <w:rFonts w:hint="eastAsia" w:ascii="楷体_GB2312" w:hAnsi="楷体_GB2312" w:eastAsia="楷体_GB2312" w:cs="楷体_GB2312"/>
          <w:b/>
          <w:bCs w:val="0"/>
          <w:color w:val="auto"/>
          <w:kern w:val="2"/>
          <w:sz w:val="32"/>
          <w:szCs w:val="24"/>
          <w:highlight w:val="none"/>
          <w:lang w:val="en-US" w:eastAsia="zh-CN"/>
        </w:rPr>
        <w:t xml:space="preserve">  </w:t>
      </w:r>
      <w:r>
        <w:rPr>
          <w:rFonts w:hint="eastAsia" w:ascii="仿宋_GB2312" w:hAnsi="仿宋" w:eastAsia="仿宋_GB2312"/>
          <w:sz w:val="32"/>
          <w:szCs w:val="32"/>
        </w:rPr>
        <w:t>为降低</w:t>
      </w:r>
      <w:r>
        <w:rPr>
          <w:rFonts w:hint="eastAsia" w:ascii="仿宋_GB2312" w:hAnsi="仿宋" w:eastAsia="仿宋_GB2312"/>
          <w:sz w:val="32"/>
          <w:szCs w:val="32"/>
          <w:lang w:eastAsia="zh-CN"/>
        </w:rPr>
        <w:t>南山区</w:t>
      </w:r>
      <w:r>
        <w:rPr>
          <w:rFonts w:hint="eastAsia" w:ascii="仿宋_GB2312" w:hAnsi="仿宋" w:eastAsia="仿宋_GB2312"/>
          <w:sz w:val="32"/>
          <w:szCs w:val="32"/>
        </w:rPr>
        <w:t>企业成本，加快产业集聚，提升区域竞争力，引导企业扎根</w:t>
      </w:r>
      <w:r>
        <w:rPr>
          <w:rFonts w:hint="eastAsia" w:ascii="仿宋_GB2312" w:hAnsi="仿宋" w:eastAsia="仿宋_GB2312"/>
          <w:sz w:val="32"/>
          <w:szCs w:val="32"/>
          <w:lang w:eastAsia="zh-CN"/>
        </w:rPr>
        <w:t>南山区</w:t>
      </w:r>
      <w:r>
        <w:rPr>
          <w:rFonts w:hint="eastAsia" w:ascii="仿宋_GB2312" w:hAnsi="仿宋" w:eastAsia="仿宋_GB2312"/>
          <w:sz w:val="32"/>
          <w:szCs w:val="32"/>
        </w:rPr>
        <w:t>经营，根据《</w:t>
      </w:r>
      <w:r>
        <w:rPr>
          <w:rFonts w:hint="eastAsia" w:ascii="仿宋_GB2312" w:hAnsi="仿宋" w:eastAsia="仿宋_GB2312"/>
          <w:sz w:val="32"/>
          <w:szCs w:val="32"/>
          <w:lang w:eastAsia="zh-CN"/>
        </w:rPr>
        <w:t>南山区自主创新产业发展专项资金管理办法</w:t>
      </w:r>
      <w:r>
        <w:rPr>
          <w:rFonts w:hint="eastAsia" w:ascii="仿宋_GB2312" w:hAnsi="仿宋" w:eastAsia="仿宋_GB2312"/>
          <w:sz w:val="32"/>
          <w:szCs w:val="32"/>
        </w:rPr>
        <w:t>》有关规定，结合</w:t>
      </w:r>
      <w:r>
        <w:rPr>
          <w:rFonts w:hint="eastAsia" w:ascii="仿宋_GB2312" w:hAnsi="仿宋" w:eastAsia="仿宋_GB2312"/>
          <w:sz w:val="32"/>
          <w:szCs w:val="32"/>
          <w:lang w:eastAsia="zh-CN"/>
        </w:rPr>
        <w:t>南山</w:t>
      </w:r>
      <w:r>
        <w:rPr>
          <w:rFonts w:hint="eastAsia" w:ascii="仿宋_GB2312" w:hAnsi="仿宋" w:eastAsia="仿宋_GB2312"/>
          <w:sz w:val="32"/>
          <w:szCs w:val="32"/>
        </w:rPr>
        <w:t>区</w:t>
      </w:r>
      <w:r>
        <w:rPr>
          <w:rFonts w:ascii="仿宋_GB2312" w:hAnsi="仿宋" w:eastAsia="仿宋_GB2312"/>
          <w:sz w:val="32"/>
          <w:szCs w:val="32"/>
        </w:rPr>
        <w:t>实际，</w:t>
      </w:r>
      <w:r>
        <w:rPr>
          <w:rFonts w:hint="eastAsia" w:ascii="仿宋_GB2312" w:hAnsi="仿宋" w:eastAsia="仿宋_GB2312"/>
          <w:sz w:val="32"/>
          <w:szCs w:val="32"/>
        </w:rPr>
        <w:t>制定本</w:t>
      </w:r>
      <w:r>
        <w:rPr>
          <w:rFonts w:hint="eastAsia" w:ascii="仿宋_GB2312" w:hAnsi="仿宋" w:eastAsia="仿宋_GB2312"/>
          <w:sz w:val="32"/>
          <w:szCs w:val="32"/>
          <w:lang w:eastAsia="zh-CN"/>
        </w:rPr>
        <w:t>措施</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bidi w:val="0"/>
        <w:spacing w:beforeAutospacing="0" w:afterAutospacing="0" w:line="560" w:lineRule="exact"/>
        <w:ind w:left="0" w:leftChars="0" w:firstLine="643" w:firstLineChars="200"/>
        <w:jc w:val="both"/>
        <w:textAlignment w:val="auto"/>
        <w:rPr>
          <w:rFonts w:hint="eastAsia" w:ascii="仿宋_GB2312" w:hAnsi="仿宋" w:eastAsia="仿宋_GB2312"/>
          <w:b w:val="0"/>
          <w:bCs w:val="0"/>
          <w:sz w:val="32"/>
          <w:szCs w:val="32"/>
          <w:lang w:val="en-US" w:eastAsia="zh-CN"/>
        </w:rPr>
      </w:pPr>
      <w:r>
        <w:rPr>
          <w:rFonts w:hint="eastAsia" w:ascii="楷体_GB2312" w:hAnsi="楷体_GB2312" w:eastAsia="楷体_GB2312" w:cs="楷体_GB2312"/>
          <w:b/>
          <w:bCs w:val="0"/>
          <w:color w:val="auto"/>
          <w:kern w:val="2"/>
          <w:sz w:val="32"/>
          <w:szCs w:val="24"/>
          <w:highlight w:val="none"/>
          <w:lang w:val="en-US" w:eastAsia="zh-CN"/>
        </w:rPr>
        <w:t>第二条</w:t>
      </w:r>
      <w:r>
        <w:rPr>
          <w:rFonts w:hint="eastAsia" w:ascii="仿宋_GB2312" w:hAnsi="仿宋" w:eastAsia="仿宋_GB2312"/>
          <w:b/>
          <w:bCs/>
          <w:sz w:val="32"/>
          <w:szCs w:val="32"/>
          <w:lang w:val="en-US" w:eastAsia="zh-CN"/>
        </w:rPr>
        <w:t xml:space="preserve"> </w:t>
      </w:r>
      <w:r>
        <w:rPr>
          <w:rFonts w:hint="eastAsia" w:ascii="仿宋_GB2312" w:hAnsi="仿宋"/>
          <w:b/>
          <w:bCs/>
          <w:sz w:val="32"/>
          <w:szCs w:val="32"/>
          <w:lang w:val="en-US" w:eastAsia="zh-CN"/>
        </w:rPr>
        <w:t xml:space="preserve"> </w:t>
      </w:r>
      <w:r>
        <w:rPr>
          <w:rFonts w:hint="eastAsia" w:ascii="仿宋_GB2312" w:hAnsi="仿宋" w:eastAsia="仿宋_GB2312"/>
          <w:b w:val="0"/>
          <w:bCs w:val="0"/>
          <w:sz w:val="32"/>
          <w:szCs w:val="32"/>
          <w:lang w:val="en-US" w:eastAsia="zh-CN"/>
        </w:rPr>
        <w:t>申报主体原则上应符合《南山区自主创新产业发展专项资金管理办法》规定的“注册地”“独立法人”“区级地方财力贡献”条件，以下情形除外：</w:t>
      </w:r>
    </w:p>
    <w:p>
      <w:pPr>
        <w:keepNext w:val="0"/>
        <w:keepLines w:val="0"/>
        <w:pageBreakBefore w:val="0"/>
        <w:widowControl w:val="0"/>
        <w:kinsoku/>
        <w:wordWrap/>
        <w:overflowPunct/>
        <w:topLinePunct w:val="0"/>
        <w:autoSpaceDE/>
        <w:bidi w:val="0"/>
        <w:spacing w:beforeAutospacing="0" w:afterAutospacing="0" w:line="560" w:lineRule="exact"/>
        <w:ind w:left="0" w:leftChars="0" w:firstLine="640" w:firstLineChars="200"/>
        <w:jc w:val="both"/>
        <w:textAlignment w:val="auto"/>
        <w:rPr>
          <w:rFonts w:hint="eastAsia" w:ascii="仿宋_GB2312" w:hAnsi="仿宋" w:eastAsia="仿宋_GB2312"/>
          <w:b w:val="0"/>
          <w:bCs w:val="0"/>
          <w:sz w:val="32"/>
          <w:szCs w:val="32"/>
          <w:lang w:val="en-US" w:eastAsia="zh-CN"/>
        </w:rPr>
      </w:pPr>
      <w:r>
        <w:rPr>
          <w:rFonts w:hint="eastAsia" w:ascii="仿宋_GB2312" w:hAnsi="仿宋" w:eastAsia="仿宋_GB2312"/>
          <w:b w:val="0"/>
          <w:bCs w:val="0"/>
          <w:sz w:val="32"/>
          <w:szCs w:val="32"/>
          <w:lang w:val="en-US" w:eastAsia="zh-CN"/>
        </w:rPr>
        <w:t>申请金融企业购置及租赁办公用房、人才服务机构租赁办公用房，以及申请新引进企业租赁办公用房、新引进企业装修办公用房的专业服务业机构，可不受《南山区自主创新产业发展专项资金管理办法》规定的“独立法人”资格条件限制；</w:t>
      </w:r>
    </w:p>
    <w:p>
      <w:pPr>
        <w:keepNext w:val="0"/>
        <w:keepLines w:val="0"/>
        <w:pageBreakBefore w:val="0"/>
        <w:widowControl w:val="0"/>
        <w:kinsoku/>
        <w:wordWrap/>
        <w:overflowPunct/>
        <w:topLinePunct w:val="0"/>
        <w:autoSpaceDE/>
        <w:bidi w:val="0"/>
        <w:spacing w:beforeAutospacing="0" w:afterAutospacing="0" w:line="560" w:lineRule="exact"/>
        <w:ind w:left="0" w:leftChars="0" w:firstLine="640" w:firstLineChars="200"/>
        <w:jc w:val="both"/>
        <w:textAlignment w:val="auto"/>
        <w:rPr>
          <w:rFonts w:hint="eastAsia" w:ascii="仿宋_GB2312" w:hAnsi="仿宋" w:eastAsia="仿宋_GB2312"/>
          <w:b/>
          <w:bCs/>
          <w:sz w:val="32"/>
          <w:szCs w:val="32"/>
          <w:lang w:val="en-US" w:eastAsia="zh-CN"/>
        </w:rPr>
      </w:pPr>
      <w:r>
        <w:rPr>
          <w:rFonts w:hint="eastAsia" w:ascii="仿宋_GB2312" w:hAnsi="仿宋" w:eastAsia="仿宋_GB2312"/>
          <w:b w:val="0"/>
          <w:bCs w:val="0"/>
          <w:sz w:val="32"/>
          <w:szCs w:val="32"/>
          <w:lang w:val="en-US" w:eastAsia="zh-CN"/>
        </w:rPr>
        <w:t>申请金融企业（新引进）企业购置及租赁办公用房、新引进企业装修办公用房、专精特新企业租赁办公用房、生命科技企业租赁办公用房、先进制造业租赁办公用房、商贸企业中园区集体食堂租赁办公用房</w:t>
      </w:r>
      <w:r>
        <w:rPr>
          <w:rFonts w:hint="eastAsia" w:ascii="仿宋_GB2312" w:hAnsi="仿宋" w:eastAsia="仿宋_GB2312"/>
          <w:b/>
          <w:bCs/>
          <w:sz w:val="32"/>
          <w:szCs w:val="32"/>
          <w:lang w:val="en-US" w:eastAsia="zh-CN"/>
        </w:rPr>
        <w:t>、</w:t>
      </w:r>
      <w:r>
        <w:rPr>
          <w:rFonts w:hint="eastAsia" w:ascii="仿宋_GB2312" w:hAnsi="仿宋" w:eastAsia="仿宋_GB2312"/>
          <w:b w:val="0"/>
          <w:bCs w:val="0"/>
          <w:sz w:val="32"/>
          <w:szCs w:val="32"/>
          <w:lang w:val="en-US" w:eastAsia="zh-CN"/>
        </w:rPr>
        <w:t>人才服务机构租赁办公用房、行业协会租赁办公用房，以及申请文化、体育企业房租补贴（园区内房租补贴、电竞教育机构、电竞场馆及电竞培训机构房租补贴）不受《南山区自主创新产业发展专项资金管理办法》规定的“区级地方财力贡献”限制。</w:t>
      </w:r>
    </w:p>
    <w:p>
      <w:pPr>
        <w:keepNext w:val="0"/>
        <w:keepLines w:val="0"/>
        <w:pageBreakBefore w:val="0"/>
        <w:widowControl w:val="0"/>
        <w:kinsoku/>
        <w:wordWrap/>
        <w:overflowPunct/>
        <w:topLinePunct w:val="0"/>
        <w:autoSpaceDE/>
        <w:bidi w:val="0"/>
        <w:spacing w:beforeAutospacing="0" w:afterAutospacing="0" w:line="560" w:lineRule="exact"/>
        <w:ind w:left="0" w:leftChars="0"/>
        <w:jc w:val="center"/>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bidi w:val="0"/>
        <w:spacing w:beforeAutospacing="0" w:afterAutospacing="0" w:line="560" w:lineRule="exact"/>
        <w:ind w:left="0" w:leftChars="0"/>
        <w:jc w:val="center"/>
        <w:textAlignment w:val="auto"/>
        <w:rPr>
          <w:rFonts w:hint="eastAsia" w:ascii="黑体" w:hAnsi="黑体" w:eastAsia="黑体"/>
          <w:sz w:val="32"/>
          <w:szCs w:val="32"/>
        </w:rPr>
      </w:pPr>
      <w:r>
        <w:rPr>
          <w:rFonts w:hint="eastAsia" w:ascii="黑体" w:hAnsi="黑体" w:eastAsia="黑体"/>
          <w:sz w:val="32"/>
          <w:szCs w:val="32"/>
        </w:rPr>
        <w:t>第二</w:t>
      </w:r>
      <w:r>
        <w:rPr>
          <w:rFonts w:hint="eastAsia" w:ascii="黑体" w:hAnsi="黑体" w:eastAsia="黑体"/>
          <w:sz w:val="32"/>
          <w:szCs w:val="32"/>
          <w:lang w:eastAsia="zh-CN"/>
        </w:rPr>
        <w:t>章</w:t>
      </w:r>
      <w:r>
        <w:rPr>
          <w:rFonts w:hint="eastAsia" w:ascii="黑体" w:hAnsi="黑体" w:eastAsia="黑体"/>
          <w:sz w:val="32"/>
          <w:szCs w:val="32"/>
          <w:lang w:val="en-US" w:eastAsia="zh-CN"/>
        </w:rPr>
        <w:t xml:space="preserve">  </w:t>
      </w:r>
      <w:r>
        <w:rPr>
          <w:rFonts w:hint="eastAsia" w:ascii="黑体" w:hAnsi="黑体" w:eastAsia="黑体"/>
          <w:sz w:val="32"/>
          <w:szCs w:val="32"/>
        </w:rPr>
        <w:t>购置扶持</w:t>
      </w:r>
    </w:p>
    <w:p>
      <w:pPr>
        <w:keepNext w:val="0"/>
        <w:keepLines w:val="0"/>
        <w:pageBreakBefore w:val="0"/>
        <w:widowControl w:val="0"/>
        <w:kinsoku/>
        <w:wordWrap/>
        <w:overflowPunct/>
        <w:topLinePunct w:val="0"/>
        <w:autoSpaceDE/>
        <w:bidi w:val="0"/>
        <w:spacing w:beforeAutospacing="0" w:afterAutospacing="0" w:line="560" w:lineRule="exact"/>
        <w:ind w:left="0" w:leftChars="0" w:firstLine="643" w:firstLineChars="200"/>
        <w:jc w:val="both"/>
        <w:textAlignment w:val="auto"/>
        <w:rPr>
          <w:rFonts w:hint="eastAsia" w:ascii="仿宋_GB2312" w:hAnsi="仿宋" w:eastAsia="仿宋_GB2312"/>
          <w:b/>
          <w:bCs/>
          <w:sz w:val="32"/>
          <w:szCs w:val="32"/>
          <w:lang w:eastAsia="zh-CN"/>
        </w:rPr>
      </w:pPr>
    </w:p>
    <w:p>
      <w:pPr>
        <w:keepNext w:val="0"/>
        <w:keepLines w:val="0"/>
        <w:pageBreakBefore w:val="0"/>
        <w:widowControl w:val="0"/>
        <w:kinsoku/>
        <w:wordWrap/>
        <w:overflowPunct/>
        <w:topLinePunct w:val="0"/>
        <w:autoSpaceDE/>
        <w:bidi w:val="0"/>
        <w:spacing w:beforeAutospacing="0" w:afterAutospacing="0" w:line="560" w:lineRule="exact"/>
        <w:ind w:left="0" w:leftChars="0" w:firstLine="643" w:firstLineChars="200"/>
        <w:jc w:val="both"/>
        <w:textAlignment w:val="auto"/>
        <w:rPr>
          <w:rFonts w:hint="eastAsia" w:ascii="仿宋_GB2312" w:hAnsi="仿宋" w:eastAsia="仿宋_GB2312"/>
          <w:sz w:val="32"/>
          <w:szCs w:val="32"/>
          <w:lang w:eastAsia="zh-CN"/>
        </w:rPr>
      </w:pPr>
      <w:r>
        <w:rPr>
          <w:rFonts w:hint="eastAsia" w:ascii="楷体_GB2312" w:hAnsi="楷体_GB2312" w:eastAsia="楷体_GB2312" w:cs="楷体_GB2312"/>
          <w:b/>
          <w:bCs w:val="0"/>
          <w:color w:val="auto"/>
          <w:kern w:val="2"/>
          <w:sz w:val="32"/>
          <w:szCs w:val="24"/>
          <w:highlight w:val="none"/>
          <w:lang w:eastAsia="zh-CN"/>
        </w:rPr>
        <w:t>第三条</w:t>
      </w:r>
      <w:r>
        <w:rPr>
          <w:rFonts w:hint="eastAsia" w:ascii="楷体_GB2312" w:hAnsi="楷体_GB2312" w:eastAsia="楷体_GB2312" w:cs="楷体_GB2312"/>
          <w:b/>
          <w:bCs w:val="0"/>
          <w:color w:val="auto"/>
          <w:kern w:val="2"/>
          <w:sz w:val="32"/>
          <w:szCs w:val="24"/>
          <w:highlight w:val="none"/>
          <w:lang w:val="en-US" w:eastAsia="zh-CN"/>
        </w:rPr>
        <w:t xml:space="preserve">  </w:t>
      </w:r>
      <w:r>
        <w:rPr>
          <w:rFonts w:hint="eastAsia" w:ascii="仿宋_GB2312" w:hAnsi="仿宋" w:eastAsia="仿宋_GB2312"/>
          <w:sz w:val="32"/>
          <w:szCs w:val="32"/>
          <w:lang w:eastAsia="zh-CN"/>
        </w:rPr>
        <w:t>上年度在南山区内购置自用办公用房的企业，按以下标准予以购置扶持：</w:t>
      </w:r>
    </w:p>
    <w:p>
      <w:pPr>
        <w:keepNext w:val="0"/>
        <w:keepLines w:val="0"/>
        <w:pageBreakBefore w:val="0"/>
        <w:widowControl w:val="0"/>
        <w:kinsoku/>
        <w:wordWrap/>
        <w:overflowPunct/>
        <w:topLinePunct w:val="0"/>
        <w:autoSpaceDE/>
        <w:autoSpaceDN w:val="0"/>
        <w:bidi w:val="0"/>
        <w:adjustRightInd/>
        <w:snapToGrid w:val="0"/>
        <w:spacing w:beforeAutospacing="0" w:afterAutospacing="0" w:line="560" w:lineRule="exact"/>
        <w:ind w:left="0" w:leftChars="0" w:firstLine="640" w:firstLineChars="200"/>
        <w:jc w:val="both"/>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（一）对经认定的上市企业和符合条件的金融企业及金融科技企业在南山区购置自用办公用房（不含南山区政策性产业用房）的，按最高3000元/平方米的标准分3年给予补贴，每年最高1000万元，总额最高3000万元。</w:t>
      </w:r>
    </w:p>
    <w:p>
      <w:pPr>
        <w:keepNext w:val="0"/>
        <w:keepLines w:val="0"/>
        <w:pageBreakBefore w:val="0"/>
        <w:widowControl w:val="0"/>
        <w:kinsoku/>
        <w:wordWrap/>
        <w:overflowPunct/>
        <w:topLinePunct w:val="0"/>
        <w:autoSpaceDE/>
        <w:bidi w:val="0"/>
        <w:spacing w:beforeAutospacing="0" w:afterAutospacing="0" w:line="560" w:lineRule="exact"/>
        <w:ind w:left="0" w:leftChars="0" w:firstLine="640" w:firstLineChars="200"/>
        <w:jc w:val="both"/>
        <w:textAlignment w:val="auto"/>
        <w:rPr>
          <w:rFonts w:hint="eastAsia" w:ascii="仿宋_GB2312" w:hAnsi="仿宋" w:eastAsia="仿宋_GB2312"/>
          <w:b w:val="0"/>
          <w:bCs w:val="0"/>
          <w:sz w:val="32"/>
          <w:szCs w:val="32"/>
          <w:lang w:eastAsia="zh-CN"/>
        </w:rPr>
      </w:pPr>
      <w:r>
        <w:rPr>
          <w:rFonts w:hint="eastAsia" w:ascii="仿宋_GB2312" w:hAnsi="仿宋" w:eastAsia="仿宋_GB2312"/>
          <w:b w:val="0"/>
          <w:bCs w:val="0"/>
          <w:sz w:val="32"/>
          <w:szCs w:val="32"/>
          <w:lang w:eastAsia="zh-CN"/>
        </w:rPr>
        <w:t>（二）对符合条件的区总部企业在南山区购置自用办公用房（不含南山区政策性产业用房）的，可按最高3000元/平方米的标准分3年给予补贴，每年最高1000万元，总额最高3000万元。本项与第一项不重复资助。</w:t>
      </w:r>
    </w:p>
    <w:p>
      <w:pPr>
        <w:keepNext w:val="0"/>
        <w:keepLines w:val="0"/>
        <w:pageBreakBefore w:val="0"/>
        <w:widowControl w:val="0"/>
        <w:kinsoku/>
        <w:wordWrap/>
        <w:overflowPunct/>
        <w:topLinePunct w:val="0"/>
        <w:autoSpaceDE/>
        <w:bidi w:val="0"/>
        <w:spacing w:beforeAutospacing="0" w:afterAutospacing="0" w:line="560" w:lineRule="exact"/>
        <w:ind w:left="0" w:leftChars="0" w:firstLine="640" w:firstLineChars="200"/>
        <w:jc w:val="both"/>
        <w:textAlignment w:val="auto"/>
        <w:rPr>
          <w:rFonts w:hint="eastAsia" w:ascii="仿宋_GB2312" w:hAnsi="仿宋" w:eastAsia="仿宋_GB2312"/>
          <w:b w:val="0"/>
          <w:bCs w:val="0"/>
          <w:sz w:val="32"/>
          <w:szCs w:val="32"/>
          <w:lang w:val="en-US" w:eastAsia="zh-CN"/>
        </w:rPr>
      </w:pPr>
      <w:r>
        <w:rPr>
          <w:rFonts w:hint="eastAsia" w:ascii="仿宋_GB2312" w:hAnsi="仿宋" w:eastAsia="仿宋_GB2312"/>
          <w:b w:val="0"/>
          <w:bCs w:val="0"/>
          <w:sz w:val="32"/>
          <w:szCs w:val="32"/>
          <w:lang w:val="en-US" w:eastAsia="zh-CN"/>
        </w:rPr>
        <w:t>（三）对符合条件的新引进企业在南山区购置自用办公用房（不含南山区政策性产业用房）的，按1500元/平方米的标准，给予最高2000万元的一次性补贴。</w:t>
      </w:r>
    </w:p>
    <w:p>
      <w:pPr>
        <w:keepNext w:val="0"/>
        <w:keepLines w:val="0"/>
        <w:pageBreakBefore w:val="0"/>
        <w:widowControl w:val="0"/>
        <w:kinsoku/>
        <w:wordWrap/>
        <w:overflowPunct/>
        <w:topLinePunct w:val="0"/>
        <w:autoSpaceDE/>
        <w:bidi w:val="0"/>
        <w:spacing w:beforeAutospacing="0" w:afterAutospacing="0" w:line="560" w:lineRule="exact"/>
        <w:ind w:left="0" w:leftChars="0"/>
        <w:jc w:val="center"/>
        <w:textAlignment w:val="auto"/>
        <w:rPr>
          <w:rFonts w:hint="eastAsia" w:ascii="黑体" w:hAnsi="黑体" w:eastAsia="黑体"/>
          <w:sz w:val="32"/>
          <w:szCs w:val="32"/>
          <w:lang w:eastAsia="zh-CN"/>
        </w:rPr>
      </w:pPr>
    </w:p>
    <w:p>
      <w:pPr>
        <w:keepNext w:val="0"/>
        <w:keepLines w:val="0"/>
        <w:pageBreakBefore w:val="0"/>
        <w:widowControl w:val="0"/>
        <w:kinsoku/>
        <w:wordWrap/>
        <w:overflowPunct/>
        <w:topLinePunct w:val="0"/>
        <w:autoSpaceDE/>
        <w:bidi w:val="0"/>
        <w:spacing w:beforeAutospacing="0" w:afterAutospacing="0" w:line="560" w:lineRule="exact"/>
        <w:ind w:left="0" w:leftChars="0"/>
        <w:jc w:val="center"/>
        <w:textAlignment w:val="auto"/>
        <w:rPr>
          <w:rFonts w:hint="default" w:ascii="黑体" w:hAnsi="黑体" w:eastAsia="黑体"/>
          <w:sz w:val="32"/>
          <w:szCs w:val="32"/>
          <w:lang w:val="en-US" w:eastAsia="zh-CN"/>
        </w:rPr>
      </w:pPr>
      <w:r>
        <w:rPr>
          <w:rFonts w:hint="eastAsia" w:ascii="黑体" w:hAnsi="黑体" w:eastAsia="黑体"/>
          <w:sz w:val="32"/>
          <w:szCs w:val="32"/>
          <w:lang w:eastAsia="zh-CN"/>
        </w:rPr>
        <w:t>第三章</w:t>
      </w:r>
      <w:r>
        <w:rPr>
          <w:rFonts w:hint="eastAsia" w:ascii="黑体" w:hAnsi="黑体" w:eastAsia="黑体"/>
          <w:sz w:val="32"/>
          <w:szCs w:val="32"/>
          <w:lang w:val="en-US" w:eastAsia="zh-CN"/>
        </w:rPr>
        <w:t xml:space="preserve">  租赁扶持</w:t>
      </w:r>
    </w:p>
    <w:p>
      <w:pPr>
        <w:keepNext w:val="0"/>
        <w:keepLines w:val="0"/>
        <w:pageBreakBefore w:val="0"/>
        <w:widowControl w:val="0"/>
        <w:kinsoku/>
        <w:wordWrap/>
        <w:overflowPunct/>
        <w:topLinePunct w:val="0"/>
        <w:autoSpaceDE/>
        <w:bidi w:val="0"/>
        <w:spacing w:beforeAutospacing="0" w:afterAutospacing="0" w:line="560" w:lineRule="exact"/>
        <w:ind w:left="0" w:leftChars="0" w:firstLine="643" w:firstLineChars="200"/>
        <w:jc w:val="both"/>
        <w:textAlignment w:val="auto"/>
        <w:rPr>
          <w:rFonts w:hint="eastAsia" w:ascii="仿宋_GB2312" w:hAnsi="仿宋" w:eastAsia="仿宋_GB2312"/>
          <w:b/>
          <w:bCs/>
          <w:sz w:val="32"/>
          <w:szCs w:val="32"/>
          <w:lang w:eastAsia="zh-CN"/>
        </w:rPr>
      </w:pPr>
    </w:p>
    <w:p>
      <w:pPr>
        <w:keepNext w:val="0"/>
        <w:keepLines w:val="0"/>
        <w:pageBreakBefore w:val="0"/>
        <w:widowControl w:val="0"/>
        <w:kinsoku/>
        <w:wordWrap/>
        <w:overflowPunct/>
        <w:topLinePunct w:val="0"/>
        <w:autoSpaceDE/>
        <w:bidi w:val="0"/>
        <w:spacing w:beforeAutospacing="0" w:afterAutospacing="0" w:line="560" w:lineRule="exact"/>
        <w:ind w:left="0" w:leftChars="0" w:firstLine="643" w:firstLineChars="200"/>
        <w:jc w:val="both"/>
        <w:textAlignment w:val="auto"/>
        <w:rPr>
          <w:rFonts w:hint="eastAsia" w:ascii="仿宋_GB2312" w:hAnsi="仿宋" w:eastAsia="仿宋_GB2312"/>
          <w:sz w:val="32"/>
          <w:szCs w:val="32"/>
          <w:lang w:eastAsia="zh-CN"/>
        </w:rPr>
      </w:pPr>
      <w:r>
        <w:rPr>
          <w:rFonts w:hint="eastAsia" w:ascii="楷体_GB2312" w:hAnsi="楷体_GB2312" w:eastAsia="楷体_GB2312" w:cs="楷体_GB2312"/>
          <w:b/>
          <w:bCs w:val="0"/>
          <w:color w:val="auto"/>
          <w:kern w:val="2"/>
          <w:sz w:val="32"/>
          <w:szCs w:val="24"/>
          <w:highlight w:val="none"/>
          <w:lang w:eastAsia="zh-CN"/>
        </w:rPr>
        <w:t>第四条</w:t>
      </w:r>
      <w:r>
        <w:rPr>
          <w:rFonts w:hint="eastAsia" w:ascii="楷体_GB2312" w:hAnsi="楷体_GB2312" w:eastAsia="楷体_GB2312" w:cs="楷体_GB2312"/>
          <w:b/>
          <w:color w:val="auto"/>
          <w:kern w:val="2"/>
          <w:sz w:val="32"/>
          <w:szCs w:val="24"/>
          <w:highlight w:val="none"/>
          <w:lang w:val="en-US" w:eastAsia="zh-CN"/>
        </w:rPr>
        <w:t xml:space="preserve">  </w:t>
      </w:r>
      <w:r>
        <w:rPr>
          <w:rFonts w:hint="eastAsia" w:ascii="仿宋_GB2312" w:hAnsi="仿宋" w:eastAsia="仿宋_GB2312"/>
          <w:sz w:val="32"/>
          <w:szCs w:val="32"/>
          <w:lang w:eastAsia="zh-CN"/>
        </w:rPr>
        <w:t>上年度在南山区内租赁自用办公用房的企业，按以下标准予以扶持：</w:t>
      </w:r>
    </w:p>
    <w:p>
      <w:pPr>
        <w:keepNext w:val="0"/>
        <w:keepLines w:val="0"/>
        <w:pageBreakBefore w:val="0"/>
        <w:widowControl w:val="0"/>
        <w:kinsoku/>
        <w:wordWrap/>
        <w:overflowPunct/>
        <w:topLinePunct w:val="0"/>
        <w:autoSpaceDE/>
        <w:bidi w:val="0"/>
        <w:spacing w:beforeAutospacing="0" w:afterAutospacing="0" w:line="560" w:lineRule="exact"/>
        <w:ind w:left="0" w:leftChars="0" w:firstLine="640" w:firstLineChars="200"/>
        <w:jc w:val="both"/>
        <w:textAlignment w:val="auto"/>
        <w:rPr>
          <w:rFonts w:hint="eastAsia" w:ascii="仿宋_GB2312" w:hAnsi="仿宋" w:eastAsia="仿宋_GB2312"/>
          <w:sz w:val="32"/>
          <w:szCs w:val="32"/>
          <w:lang w:eastAsia="zh-CN"/>
        </w:rPr>
      </w:pPr>
      <w:r>
        <w:rPr>
          <w:rFonts w:hint="eastAsia" w:ascii="仿宋_GB2312" w:hAnsi="仿宋" w:eastAsia="仿宋_GB2312"/>
          <w:sz w:val="32"/>
          <w:szCs w:val="32"/>
        </w:rPr>
        <w:t>（</w:t>
      </w:r>
      <w:r>
        <w:rPr>
          <w:rFonts w:hint="eastAsia" w:ascii="仿宋_GB2312" w:hAnsi="仿宋" w:eastAsia="仿宋_GB2312"/>
          <w:sz w:val="32"/>
          <w:szCs w:val="32"/>
          <w:lang w:eastAsia="zh-CN"/>
        </w:rPr>
        <w:t>一</w:t>
      </w:r>
      <w:r>
        <w:rPr>
          <w:rFonts w:hint="eastAsia" w:ascii="仿宋_GB2312" w:hAnsi="仿宋" w:eastAsia="仿宋_GB2312"/>
          <w:sz w:val="32"/>
          <w:szCs w:val="32"/>
        </w:rPr>
        <w:t>）</w:t>
      </w:r>
      <w:r>
        <w:rPr>
          <w:rFonts w:hint="eastAsia" w:ascii="仿宋_GB2312" w:hAnsi="仿宋" w:eastAsia="仿宋_GB2312"/>
          <w:sz w:val="32"/>
          <w:szCs w:val="32"/>
          <w:lang w:eastAsia="zh-CN"/>
        </w:rPr>
        <w:t>【金融企业】对符合条件的金融企业及金融科技企业在南山区租赁自用办公用房（不含南山区政策性产业用房）的，按实际支付租金的30％分3年给予最高3000万元房租补贴，每年最高1000万元。对入驻经市、区政府认定的产业基地或金融重点楼宇的，分5年给予最高3500万元房租补贴，其中前3年每年按实际支付租金的30％给予补贴，每年最高1000万元；后2年每年按实际支付租金的15％给予补贴，每年最高250万元。</w:t>
      </w:r>
    </w:p>
    <w:p>
      <w:pPr>
        <w:keepNext w:val="0"/>
        <w:keepLines w:val="0"/>
        <w:pageBreakBefore w:val="0"/>
        <w:widowControl w:val="0"/>
        <w:kinsoku/>
        <w:wordWrap/>
        <w:overflowPunct/>
        <w:topLinePunct w:val="0"/>
        <w:autoSpaceDE/>
        <w:bidi w:val="0"/>
        <w:spacing w:beforeAutospacing="0" w:afterAutospacing="0" w:line="560" w:lineRule="exact"/>
        <w:ind w:left="0" w:leftChars="0" w:firstLine="640" w:firstLineChars="200"/>
        <w:jc w:val="both"/>
        <w:textAlignment w:val="auto"/>
        <w:rPr>
          <w:rFonts w:hint="eastAsia" w:ascii="仿宋_GB2312" w:hAnsi="仿宋" w:eastAsia="仿宋_GB2312"/>
          <w:sz w:val="32"/>
          <w:szCs w:val="32"/>
          <w:lang w:eastAsia="zh-CN"/>
        </w:rPr>
      </w:pPr>
      <w:r>
        <w:rPr>
          <w:rFonts w:hint="eastAsia" w:ascii="仿宋_GB2312" w:hAnsi="仿宋" w:eastAsia="仿宋_GB2312"/>
          <w:sz w:val="32"/>
          <w:szCs w:val="32"/>
        </w:rPr>
        <w:t>（</w:t>
      </w:r>
      <w:r>
        <w:rPr>
          <w:rFonts w:hint="eastAsia" w:ascii="仿宋_GB2312" w:hAnsi="仿宋" w:eastAsia="仿宋_GB2312"/>
          <w:sz w:val="32"/>
          <w:szCs w:val="32"/>
          <w:lang w:eastAsia="zh-CN"/>
        </w:rPr>
        <w:t>二</w:t>
      </w:r>
      <w:r>
        <w:rPr>
          <w:rFonts w:hint="eastAsia" w:ascii="仿宋_GB2312" w:hAnsi="仿宋" w:eastAsia="仿宋_GB2312"/>
          <w:sz w:val="32"/>
          <w:szCs w:val="32"/>
        </w:rPr>
        <w:t>）</w:t>
      </w:r>
      <w:r>
        <w:rPr>
          <w:rFonts w:hint="eastAsia" w:ascii="仿宋_GB2312" w:hAnsi="仿宋" w:eastAsia="仿宋_GB2312"/>
          <w:sz w:val="32"/>
          <w:szCs w:val="32"/>
          <w:lang w:eastAsia="zh-CN"/>
        </w:rPr>
        <w:t>【上市企业】对经认定的上市企业在南山区租赁自用办公用房（不含南山区政策性产业用房）的，分5年给予最高1200万元房租补贴，其中前3年每年按实际支付租金的30%给予补贴，每年最高300万元；后2年每年按实际支付租金的15%给予补贴，每年最高150万元。本项与第一项、第三项及第四项不重复资助。</w:t>
      </w:r>
    </w:p>
    <w:p>
      <w:pPr>
        <w:keepNext w:val="0"/>
        <w:keepLines w:val="0"/>
        <w:pageBreakBefore w:val="0"/>
        <w:widowControl w:val="0"/>
        <w:kinsoku/>
        <w:wordWrap/>
        <w:overflowPunct/>
        <w:topLinePunct w:val="0"/>
        <w:autoSpaceDE/>
        <w:bidi w:val="0"/>
        <w:spacing w:beforeAutospacing="0" w:afterAutospacing="0" w:line="560" w:lineRule="exact"/>
        <w:ind w:left="0" w:leftChars="0" w:firstLine="640" w:firstLineChars="200"/>
        <w:jc w:val="both"/>
        <w:textAlignment w:val="auto"/>
        <w:rPr>
          <w:rFonts w:hint="eastAsia" w:ascii="仿宋_GB2312" w:hAnsi="仿宋" w:eastAsia="仿宋_GB2312"/>
          <w:b w:val="0"/>
          <w:bCs w:val="0"/>
          <w:sz w:val="32"/>
          <w:szCs w:val="32"/>
          <w:lang w:eastAsia="zh-CN"/>
        </w:rPr>
      </w:pPr>
      <w:r>
        <w:rPr>
          <w:rFonts w:hint="eastAsia" w:ascii="仿宋_GB2312" w:hAnsi="仿宋" w:eastAsia="仿宋_GB2312"/>
          <w:b w:val="0"/>
          <w:bCs w:val="0"/>
          <w:sz w:val="32"/>
          <w:szCs w:val="32"/>
        </w:rPr>
        <w:t>（</w:t>
      </w:r>
      <w:r>
        <w:rPr>
          <w:rFonts w:hint="eastAsia" w:ascii="仿宋_GB2312" w:hAnsi="仿宋" w:eastAsia="仿宋_GB2312"/>
          <w:b w:val="0"/>
          <w:bCs w:val="0"/>
          <w:sz w:val="32"/>
          <w:szCs w:val="32"/>
          <w:lang w:eastAsia="zh-CN"/>
        </w:rPr>
        <w:t>三</w:t>
      </w:r>
      <w:r>
        <w:rPr>
          <w:rFonts w:hint="eastAsia" w:ascii="仿宋_GB2312" w:hAnsi="仿宋" w:eastAsia="仿宋_GB2312"/>
          <w:b w:val="0"/>
          <w:bCs w:val="0"/>
          <w:sz w:val="32"/>
          <w:szCs w:val="32"/>
        </w:rPr>
        <w:t>）</w:t>
      </w:r>
      <w:r>
        <w:rPr>
          <w:rFonts w:hint="eastAsia" w:ascii="仿宋_GB2312" w:hAnsi="仿宋" w:eastAsia="仿宋_GB2312"/>
          <w:b w:val="0"/>
          <w:bCs w:val="0"/>
          <w:sz w:val="32"/>
          <w:szCs w:val="32"/>
          <w:lang w:eastAsia="zh-CN"/>
        </w:rPr>
        <w:t>【总部企业】对符合条件的区总部企业在南山区租赁自用办公用房（不含南山区政策性产业用房）的，分5年给予房租补贴，其中前3年每年按实际支付租金的30%给予补贴，每年最高400万元；后2年每年按实际支付租金的15%给予补贴，每年最高200万元。本项与第一项、第二项及第四项不重复资助。</w:t>
      </w:r>
    </w:p>
    <w:p>
      <w:pPr>
        <w:keepNext w:val="0"/>
        <w:keepLines w:val="0"/>
        <w:pageBreakBefore w:val="0"/>
        <w:widowControl w:val="0"/>
        <w:kinsoku/>
        <w:wordWrap/>
        <w:overflowPunct/>
        <w:topLinePunct w:val="0"/>
        <w:autoSpaceDE/>
        <w:bidi w:val="0"/>
        <w:spacing w:beforeAutospacing="0" w:afterAutospacing="0" w:line="560" w:lineRule="exact"/>
        <w:ind w:left="0" w:leftChars="0" w:firstLine="640" w:firstLineChars="200"/>
        <w:jc w:val="both"/>
        <w:textAlignment w:val="auto"/>
        <w:rPr>
          <w:rFonts w:hint="eastAsia" w:ascii="仿宋_GB2312" w:hAnsi="仿宋" w:eastAsia="仿宋_GB2312"/>
          <w:b w:val="0"/>
          <w:bCs w:val="0"/>
          <w:sz w:val="32"/>
          <w:szCs w:val="32"/>
          <w:lang w:eastAsia="zh-CN"/>
        </w:rPr>
      </w:pPr>
      <w:r>
        <w:rPr>
          <w:rFonts w:hint="eastAsia" w:ascii="仿宋_GB2312" w:hAnsi="仿宋" w:eastAsia="仿宋_GB2312"/>
          <w:b w:val="0"/>
          <w:bCs w:val="0"/>
          <w:sz w:val="32"/>
          <w:szCs w:val="32"/>
          <w:lang w:eastAsia="zh-CN"/>
        </w:rPr>
        <w:t>（四）【专精特新企业】对专精特新“小巨人”企业在南山区租赁自用办公用房（不含南山区政策性产业用房）的，分5年给予房租补贴，其中前3年每年按实际支付租金的30%给予补贴，每年最高300万元；后2年每年按实际支付租金的15%给予补贴，每年最高150万元。对专精特新企业符合条件的工业企业租金补贴项目，按照《南山区促进高端制造业发展专项扶持措施》“支持工业企业保留核心生产制造”政策，在原有资助档次基础上提高一个档次予以资助。本项与第一项、第二项及第三项不重复资助。</w:t>
      </w:r>
    </w:p>
    <w:p>
      <w:pPr>
        <w:keepNext w:val="0"/>
        <w:keepLines w:val="0"/>
        <w:pageBreakBefore w:val="0"/>
        <w:widowControl w:val="0"/>
        <w:kinsoku/>
        <w:wordWrap/>
        <w:overflowPunct/>
        <w:topLinePunct w:val="0"/>
        <w:autoSpaceDE/>
        <w:bidi w:val="0"/>
        <w:spacing w:beforeAutospacing="0" w:afterAutospacing="0" w:line="560" w:lineRule="exact"/>
        <w:ind w:left="0" w:leftChars="0" w:firstLine="640" w:firstLineChars="200"/>
        <w:jc w:val="both"/>
        <w:textAlignment w:val="auto"/>
        <w:rPr>
          <w:rFonts w:hint="eastAsia" w:ascii="仿宋_GB2312" w:hAnsi="仿宋" w:eastAsia="仿宋_GB2312"/>
          <w:b w:val="0"/>
          <w:bCs w:val="0"/>
          <w:sz w:val="32"/>
          <w:szCs w:val="32"/>
          <w:lang w:eastAsia="zh-CN"/>
        </w:rPr>
      </w:pPr>
      <w:r>
        <w:rPr>
          <w:rFonts w:hint="eastAsia" w:ascii="仿宋_GB2312" w:hAnsi="仿宋" w:eastAsia="仿宋_GB2312"/>
          <w:b w:val="0"/>
          <w:bCs w:val="0"/>
          <w:sz w:val="32"/>
          <w:szCs w:val="32"/>
        </w:rPr>
        <w:t>（</w:t>
      </w:r>
      <w:r>
        <w:rPr>
          <w:rFonts w:hint="eastAsia" w:ascii="仿宋_GB2312" w:hAnsi="仿宋" w:eastAsia="仿宋_GB2312"/>
          <w:b w:val="0"/>
          <w:bCs w:val="0"/>
          <w:sz w:val="32"/>
          <w:szCs w:val="32"/>
          <w:lang w:eastAsia="zh-CN"/>
        </w:rPr>
        <w:t>五</w:t>
      </w:r>
      <w:r>
        <w:rPr>
          <w:rFonts w:hint="eastAsia" w:ascii="仿宋_GB2312" w:hAnsi="仿宋" w:eastAsia="仿宋_GB2312"/>
          <w:b w:val="0"/>
          <w:bCs w:val="0"/>
          <w:sz w:val="32"/>
          <w:szCs w:val="32"/>
        </w:rPr>
        <w:t>）</w:t>
      </w:r>
      <w:r>
        <w:rPr>
          <w:rFonts w:hint="eastAsia" w:ascii="仿宋_GB2312" w:hAnsi="仿宋" w:eastAsia="仿宋_GB2312"/>
          <w:b w:val="0"/>
          <w:bCs w:val="0"/>
          <w:sz w:val="32"/>
          <w:szCs w:val="32"/>
          <w:lang w:eastAsia="zh-CN"/>
        </w:rPr>
        <w:t>【新引进企业】对符合条件的重点新引进企业在南山区租赁自用办公用房（不含南山区政策性产业用房）的，按上年度实际支付租金的30%，给予最高</w:t>
      </w:r>
      <w:r>
        <w:rPr>
          <w:rFonts w:hint="eastAsia" w:ascii="仿宋_GB2312" w:hAnsi="仿宋" w:eastAsia="仿宋_GB2312"/>
          <w:b w:val="0"/>
          <w:bCs w:val="0"/>
          <w:sz w:val="32"/>
          <w:szCs w:val="32"/>
          <w:lang w:val="en-US" w:eastAsia="zh-CN"/>
        </w:rPr>
        <w:t>6</w:t>
      </w:r>
      <w:r>
        <w:rPr>
          <w:rFonts w:hint="eastAsia" w:ascii="仿宋_GB2312" w:hAnsi="仿宋" w:eastAsia="仿宋_GB2312"/>
          <w:b w:val="0"/>
          <w:bCs w:val="0"/>
          <w:sz w:val="32"/>
          <w:szCs w:val="32"/>
          <w:lang w:eastAsia="zh-CN"/>
        </w:rPr>
        <w:t>00万元的一次性补贴。</w:t>
      </w:r>
    </w:p>
    <w:p>
      <w:pPr>
        <w:keepNext w:val="0"/>
        <w:keepLines w:val="0"/>
        <w:pageBreakBefore w:val="0"/>
        <w:widowControl w:val="0"/>
        <w:kinsoku/>
        <w:wordWrap/>
        <w:overflowPunct/>
        <w:topLinePunct w:val="0"/>
        <w:autoSpaceDE/>
        <w:bidi w:val="0"/>
        <w:spacing w:beforeAutospacing="0" w:afterAutospacing="0" w:line="560" w:lineRule="exact"/>
        <w:ind w:left="0" w:lef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b w:val="0"/>
          <w:bCs w:val="0"/>
          <w:sz w:val="32"/>
          <w:szCs w:val="32"/>
          <w:lang w:val="en-US" w:eastAsia="zh-CN"/>
        </w:rPr>
        <w:t>（六）【生命科技企业】对成立 5 年以内（以首次申请时间计算</w:t>
      </w:r>
      <w:r>
        <w:rPr>
          <w:rFonts w:hint="eastAsia" w:ascii="仿宋_GB2312" w:hAnsi="仿宋" w:eastAsia="仿宋_GB2312"/>
          <w:sz w:val="32"/>
          <w:szCs w:val="32"/>
          <w:lang w:val="en-US" w:eastAsia="zh-CN"/>
        </w:rPr>
        <w:t>）、近 3 年累计获得融资额 1 亿元以上，且未享受南山区政策性产业用房的企业，按照其实际租金的 30%给予补贴，每年最高补贴200 万元，连续补贴时间不超过 3 年。</w:t>
      </w:r>
    </w:p>
    <w:p>
      <w:pPr>
        <w:keepNext w:val="0"/>
        <w:keepLines w:val="0"/>
        <w:pageBreakBefore w:val="0"/>
        <w:widowControl w:val="0"/>
        <w:kinsoku/>
        <w:wordWrap/>
        <w:overflowPunct/>
        <w:topLinePunct w:val="0"/>
        <w:autoSpaceDE/>
        <w:bidi w:val="0"/>
        <w:spacing w:beforeAutospacing="0" w:afterAutospacing="0" w:line="560" w:lineRule="exact"/>
        <w:ind w:left="0" w:leftChars="0" w:firstLine="640" w:firstLineChars="200"/>
        <w:jc w:val="both"/>
        <w:textAlignment w:val="auto"/>
        <w:rPr>
          <w:rFonts w:hint="eastAsia" w:ascii="仿宋_GB2312" w:hAnsi="仿宋" w:eastAsia="仿宋_GB2312"/>
          <w:b/>
          <w:bCs/>
          <w:sz w:val="32"/>
          <w:szCs w:val="32"/>
          <w:lang w:val="en-US" w:eastAsia="zh-CN"/>
        </w:rPr>
      </w:pPr>
      <w:r>
        <w:rPr>
          <w:rFonts w:hint="eastAsia" w:ascii="仿宋_GB2312" w:hAnsi="仿宋" w:eastAsia="仿宋_GB2312"/>
          <w:b w:val="0"/>
          <w:bCs w:val="0"/>
          <w:sz w:val="32"/>
          <w:szCs w:val="32"/>
          <w:lang w:val="en-US" w:eastAsia="zh-CN"/>
        </w:rPr>
        <w:t>（七）【高端制造业】对在南山区设有生产线、上年度产值超过1亿元（含市内跨区域分成企业，按分成后产值计算）、上年度产值正增长或本年度截至申报月上月的累计产值正增长的工业企业，以及在南山区设有生产线、上年度营收正增长的规下工业样本企业，对其在南山区租用的产业用房（不含南山区政策性产业用房），按不超过实际支付租金的50%且不超过50元/平方米·月的标准给予租金补贴。规下工业样本企业每年资助上限50万元；规上工业企业根据其增加值规模分档设定年度资助上限，最高1000万元。获得专精特新“小巨人”企业、专精特新中小企业、制造业“单项冠军”示范企业、制造业“单项冠军”产品等称号的规上工业企业，可不受产值规模要求限制，且在原有资助档次基础上提高一个档次予以资助。</w:t>
      </w:r>
    </w:p>
    <w:p>
      <w:pPr>
        <w:keepNext w:val="0"/>
        <w:keepLines w:val="0"/>
        <w:pageBreakBefore w:val="0"/>
        <w:widowControl w:val="0"/>
        <w:kinsoku/>
        <w:wordWrap/>
        <w:overflowPunct/>
        <w:topLinePunct w:val="0"/>
        <w:autoSpaceDE/>
        <w:bidi w:val="0"/>
        <w:spacing w:beforeAutospacing="0" w:afterAutospacing="0" w:line="560" w:lineRule="exact"/>
        <w:ind w:left="0" w:leftChars="0" w:firstLine="640" w:firstLineChars="200"/>
        <w:jc w:val="both"/>
        <w:textAlignment w:val="auto"/>
        <w:rPr>
          <w:rFonts w:hint="eastAsia" w:ascii="仿宋_GB2312" w:hAnsi="仿宋" w:eastAsia="仿宋_GB2312"/>
          <w:b w:val="0"/>
          <w:bCs w:val="0"/>
          <w:sz w:val="32"/>
          <w:szCs w:val="32"/>
          <w:lang w:val="en-US" w:eastAsia="zh-CN"/>
        </w:rPr>
      </w:pPr>
      <w:r>
        <w:rPr>
          <w:rFonts w:hint="eastAsia" w:ascii="仿宋_GB2312" w:hAnsi="仿宋" w:eastAsia="仿宋_GB2312"/>
          <w:b w:val="0"/>
          <w:bCs w:val="0"/>
          <w:sz w:val="32"/>
          <w:szCs w:val="32"/>
          <w:lang w:val="en-US" w:eastAsia="zh-CN"/>
        </w:rPr>
        <w:t>（八）【现代物流业】对获得“深圳市重点物流企业”或“深圳市AAAAA级供应链管理服务企业”认定的企业，在南山区内租赁自用仓库的，按不超过项目实际支付租金的15%给予租金补贴。单个企业每年可申报一次，每年最高150万元。</w:t>
      </w:r>
    </w:p>
    <w:p>
      <w:pPr>
        <w:keepNext w:val="0"/>
        <w:keepLines w:val="0"/>
        <w:pageBreakBefore w:val="0"/>
        <w:widowControl w:val="0"/>
        <w:kinsoku/>
        <w:wordWrap/>
        <w:overflowPunct/>
        <w:topLinePunct w:val="0"/>
        <w:autoSpaceDE/>
        <w:bidi w:val="0"/>
        <w:spacing w:beforeAutospacing="0" w:afterAutospacing="0" w:line="560" w:lineRule="exact"/>
        <w:ind w:left="0" w:leftChars="0" w:firstLine="640" w:firstLineChars="200"/>
        <w:jc w:val="both"/>
        <w:textAlignment w:val="auto"/>
        <w:rPr>
          <w:rFonts w:hint="eastAsia" w:ascii="仿宋_GB2312" w:hAnsi="仿宋" w:eastAsia="仿宋_GB2312"/>
          <w:b w:val="0"/>
          <w:bCs w:val="0"/>
          <w:sz w:val="32"/>
          <w:szCs w:val="32"/>
          <w:lang w:val="en-US" w:eastAsia="zh-CN"/>
        </w:rPr>
      </w:pPr>
      <w:r>
        <w:rPr>
          <w:rFonts w:hint="eastAsia" w:ascii="仿宋_GB2312" w:hAnsi="仿宋" w:eastAsia="仿宋_GB2312"/>
          <w:b w:val="0"/>
          <w:bCs w:val="0"/>
          <w:sz w:val="32"/>
          <w:szCs w:val="32"/>
          <w:lang w:val="en-US" w:eastAsia="zh-CN"/>
        </w:rPr>
        <w:t>（九）【商贸业】符合相关政策条件的商贸企业：</w:t>
      </w:r>
    </w:p>
    <w:p>
      <w:pPr>
        <w:keepNext w:val="0"/>
        <w:keepLines w:val="0"/>
        <w:pageBreakBefore w:val="0"/>
        <w:widowControl w:val="0"/>
        <w:kinsoku/>
        <w:wordWrap/>
        <w:overflowPunct/>
        <w:topLinePunct w:val="0"/>
        <w:autoSpaceDE/>
        <w:bidi w:val="0"/>
        <w:spacing w:beforeAutospacing="0" w:afterAutospacing="0" w:line="560" w:lineRule="exact"/>
        <w:ind w:left="0" w:leftChars="0" w:firstLine="640" w:firstLineChars="200"/>
        <w:jc w:val="both"/>
        <w:textAlignment w:val="auto"/>
        <w:rPr>
          <w:rFonts w:hint="eastAsia" w:ascii="仿宋_GB2312" w:hAnsi="仿宋" w:eastAsia="仿宋_GB2312"/>
          <w:b w:val="0"/>
          <w:bCs w:val="0"/>
          <w:sz w:val="32"/>
          <w:szCs w:val="32"/>
          <w:lang w:val="en-US" w:eastAsia="zh-CN"/>
        </w:rPr>
      </w:pPr>
      <w:r>
        <w:rPr>
          <w:rFonts w:hint="eastAsia" w:ascii="仿宋_GB2312" w:hAnsi="仿宋" w:eastAsia="仿宋_GB2312"/>
          <w:b w:val="0"/>
          <w:bCs w:val="0"/>
          <w:sz w:val="32"/>
          <w:szCs w:val="32"/>
          <w:lang w:val="en-US" w:eastAsia="zh-CN"/>
        </w:rPr>
        <w:t>1.对在南山区产业园区内经营3家（含3家）以上的集体食堂，每家食堂面积达到400平米及以上的，按照不超过实际支付租金的30%给予租金补贴，每家集体食堂每年补贴金额最高30万元。</w:t>
      </w:r>
    </w:p>
    <w:p>
      <w:pPr>
        <w:keepNext w:val="0"/>
        <w:keepLines w:val="0"/>
        <w:pageBreakBefore w:val="0"/>
        <w:widowControl w:val="0"/>
        <w:kinsoku/>
        <w:wordWrap/>
        <w:overflowPunct/>
        <w:topLinePunct w:val="0"/>
        <w:autoSpaceDE/>
        <w:bidi w:val="0"/>
        <w:spacing w:beforeAutospacing="0" w:afterAutospacing="0" w:line="560" w:lineRule="exact"/>
        <w:ind w:left="0" w:leftChars="0" w:firstLine="640" w:firstLineChars="200"/>
        <w:jc w:val="both"/>
        <w:textAlignment w:val="auto"/>
        <w:rPr>
          <w:rFonts w:hint="eastAsia" w:ascii="仿宋_GB2312" w:hAnsi="仿宋" w:eastAsia="仿宋_GB2312"/>
          <w:b/>
          <w:bCs/>
          <w:sz w:val="32"/>
          <w:szCs w:val="32"/>
          <w:lang w:val="en-US" w:eastAsia="zh-CN"/>
        </w:rPr>
      </w:pPr>
      <w:r>
        <w:rPr>
          <w:rFonts w:hint="eastAsia" w:ascii="仿宋_GB2312" w:hAnsi="仿宋" w:eastAsia="仿宋_GB2312"/>
          <w:b w:val="0"/>
          <w:bCs w:val="0"/>
          <w:sz w:val="32"/>
          <w:szCs w:val="32"/>
          <w:lang w:val="en-US" w:eastAsia="zh-CN"/>
        </w:rPr>
        <w:t>2.对注册地和经营地位于深圳前海湾保税港区域内，以9610和1210海关模式开展跨境电商进出口业务的企业，按照企业上一年度仓储租金的15%给予补贴，每家企业每年可申报一次，资助金额最高50万元。</w:t>
      </w:r>
    </w:p>
    <w:p>
      <w:pPr>
        <w:keepNext w:val="0"/>
        <w:keepLines w:val="0"/>
        <w:pageBreakBefore w:val="0"/>
        <w:widowControl w:val="0"/>
        <w:wordWrap/>
        <w:topLinePunct w:val="0"/>
        <w:bidi w:val="0"/>
        <w:adjustRightInd/>
        <w:snapToGrid/>
        <w:spacing w:beforeAutospacing="0" w:afterAutospacing="0" w:line="560" w:lineRule="exact"/>
        <w:ind w:left="0" w:leftChars="0" w:firstLine="640" w:firstLineChars="200"/>
        <w:jc w:val="both"/>
        <w:rPr>
          <w:rFonts w:hint="eastAsia" w:ascii="Calibri" w:hAnsi="Calibri" w:eastAsia="仿宋_GB2312" w:cs="Times New Roman"/>
          <w:b w:val="0"/>
          <w:bCs w:val="0"/>
          <w:kern w:val="2"/>
          <w:sz w:val="32"/>
          <w:szCs w:val="24"/>
        </w:rPr>
      </w:pPr>
      <w:r>
        <w:rPr>
          <w:rFonts w:hint="eastAsia" w:ascii="仿宋_GB2312" w:hAnsi="仿宋" w:eastAsia="仿宋_GB2312"/>
          <w:b w:val="0"/>
          <w:bCs w:val="0"/>
          <w:sz w:val="32"/>
          <w:szCs w:val="32"/>
          <w:lang w:val="en-US" w:eastAsia="zh-CN"/>
        </w:rPr>
        <w:t>3.</w:t>
      </w:r>
      <w:r>
        <w:rPr>
          <w:rFonts w:hint="eastAsia" w:ascii="Calibri" w:hAnsi="Calibri" w:eastAsia="仿宋_GB2312" w:cs="Times New Roman"/>
          <w:b w:val="0"/>
          <w:bCs w:val="0"/>
          <w:kern w:val="2"/>
          <w:sz w:val="32"/>
          <w:szCs w:val="24"/>
        </w:rPr>
        <w:t>对上两年度新入驻位于南山区的市级电子商务示范园区的电子商务企业，按照企业上两年度内实际支付一完整年度园区租金的20%给予一次性租金补贴，根据企业类型按上年度服务收入或销售额分档给予最高50万元的资助，每家企业仅可申报一次。</w:t>
      </w:r>
    </w:p>
    <w:p>
      <w:pPr>
        <w:keepNext w:val="0"/>
        <w:keepLines w:val="0"/>
        <w:pageBreakBefore w:val="0"/>
        <w:widowControl w:val="0"/>
        <w:wordWrap/>
        <w:topLinePunct w:val="0"/>
        <w:bidi w:val="0"/>
        <w:adjustRightInd/>
        <w:snapToGrid/>
        <w:spacing w:beforeAutospacing="0" w:afterAutospacing="0" w:line="560" w:lineRule="exact"/>
        <w:ind w:left="0" w:leftChars="0" w:firstLine="640" w:firstLineChars="200"/>
        <w:jc w:val="both"/>
        <w:rPr>
          <w:rFonts w:hint="default" w:ascii="Calibri" w:hAnsi="Calibri" w:eastAsia="仿宋_GB2312" w:cs="Times New Roman"/>
          <w:b w:val="0"/>
          <w:bCs w:val="0"/>
          <w:kern w:val="2"/>
          <w:sz w:val="32"/>
          <w:szCs w:val="24"/>
          <w:lang w:val="en-US" w:eastAsia="zh-CN" w:bidi="ar-SA"/>
        </w:rPr>
      </w:pPr>
      <w:r>
        <w:rPr>
          <w:rFonts w:hint="eastAsia" w:ascii="Calibri" w:hAnsi="Calibri" w:eastAsia="仿宋_GB2312" w:cs="Times New Roman"/>
          <w:b w:val="0"/>
          <w:bCs w:val="0"/>
          <w:kern w:val="2"/>
          <w:sz w:val="32"/>
          <w:szCs w:val="24"/>
          <w:lang w:eastAsia="zh-CN"/>
        </w:rPr>
        <w:t>（十）</w:t>
      </w:r>
      <w:r>
        <w:rPr>
          <w:rFonts w:hint="eastAsia" w:ascii="仿宋_GB2312" w:hAnsi="仿宋" w:eastAsia="仿宋_GB2312"/>
          <w:b w:val="0"/>
          <w:bCs w:val="0"/>
          <w:color w:val="000000" w:themeColor="text1"/>
          <w:sz w:val="32"/>
          <w:szCs w:val="32"/>
          <w:lang w:val="en-US" w:eastAsia="zh-CN"/>
          <w14:textFill>
            <w14:solidFill>
              <w14:schemeClr w14:val="tx1"/>
            </w14:solidFill>
          </w14:textFill>
        </w:rPr>
        <w:t>【重点服务业】</w:t>
      </w:r>
      <w:r>
        <w:rPr>
          <w:rFonts w:hint="default" w:ascii="Calibri" w:hAnsi="Calibri" w:eastAsia="仿宋_GB2312" w:cs="Times New Roman"/>
          <w:b w:val="0"/>
          <w:bCs w:val="0"/>
          <w:kern w:val="2"/>
          <w:sz w:val="32"/>
          <w:szCs w:val="24"/>
          <w:lang w:val="en-US" w:eastAsia="zh-CN" w:bidi="ar-SA"/>
        </w:rPr>
        <w:t>对经认定的国家级、省级、市级工业设计研究院，按照自用办公用房实际租金投入，给予连续三年全额资助，每年分别最高500万元、200万元、100万元。</w:t>
      </w:r>
    </w:p>
    <w:p>
      <w:pPr>
        <w:keepNext w:val="0"/>
        <w:keepLines w:val="0"/>
        <w:pageBreakBefore w:val="0"/>
        <w:widowControl w:val="0"/>
        <w:kinsoku/>
        <w:wordWrap/>
        <w:overflowPunct/>
        <w:topLinePunct w:val="0"/>
        <w:autoSpaceDE/>
        <w:bidi w:val="0"/>
        <w:spacing w:beforeAutospacing="0" w:afterAutospacing="0" w:line="560" w:lineRule="exact"/>
        <w:ind w:left="0" w:leftChars="0" w:firstLine="640" w:firstLineChars="200"/>
        <w:jc w:val="both"/>
        <w:textAlignment w:val="auto"/>
        <w:rPr>
          <w:rFonts w:hint="eastAsia"/>
          <w:b/>
          <w:bCs/>
          <w:color w:val="000000" w:themeColor="text1"/>
          <w:lang w:val="en-US" w:eastAsia="zh-CN"/>
          <w14:textFill>
            <w14:solidFill>
              <w14:schemeClr w14:val="tx1"/>
            </w14:solidFill>
          </w14:textFill>
        </w:rPr>
      </w:pPr>
      <w:r>
        <w:rPr>
          <w:rFonts w:hint="eastAsia" w:ascii="仿宋_GB2312" w:hAnsi="仿宋" w:eastAsia="仿宋_GB2312"/>
          <w:b w:val="0"/>
          <w:bCs w:val="0"/>
          <w:sz w:val="32"/>
          <w:szCs w:val="32"/>
          <w:lang w:val="en-US" w:eastAsia="zh-CN"/>
        </w:rPr>
        <w:t>（十一）</w:t>
      </w:r>
      <w:r>
        <w:rPr>
          <w:rFonts w:hint="eastAsia" w:ascii="仿宋_GB2312" w:hAnsi="仿宋" w:eastAsia="仿宋_GB2312"/>
          <w:b w:val="0"/>
          <w:bCs w:val="0"/>
          <w:color w:val="000000" w:themeColor="text1"/>
          <w:sz w:val="32"/>
          <w:szCs w:val="32"/>
          <w:lang w:val="en-US" w:eastAsia="zh-CN"/>
          <w14:textFill>
            <w14:solidFill>
              <w14:schemeClr w14:val="tx1"/>
            </w14:solidFill>
          </w14:textFill>
        </w:rPr>
        <w:t>【人才服务机构】支持拥有核心产品、成长性好、竞争力强、全球性或国内知名的人才服务机构入驻区人力资源服务产业园。对经核准的入驻机构，在第一年和第二年每年按实际支付租金的70%给予最高100万元租金补贴，在第三年、第四年和第五年每年按实际支付租金的50%给予最高70万元租金补贴。</w:t>
      </w:r>
    </w:p>
    <w:p>
      <w:pPr>
        <w:keepNext w:val="0"/>
        <w:keepLines w:val="0"/>
        <w:pageBreakBefore w:val="0"/>
        <w:widowControl w:val="0"/>
        <w:wordWrap/>
        <w:topLinePunct w:val="0"/>
        <w:bidi w:val="0"/>
        <w:spacing w:beforeAutospacing="0" w:afterAutospacing="0" w:line="560" w:lineRule="exact"/>
        <w:ind w:left="0" w:leftChars="0" w:firstLine="640" w:firstLineChars="200"/>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（十二）【文化、体育企业】符合相关政策条件的文化、体育企业：</w:t>
      </w:r>
    </w:p>
    <w:p>
      <w:pPr>
        <w:keepNext w:val="0"/>
        <w:keepLines w:val="0"/>
        <w:pageBreakBefore w:val="0"/>
        <w:widowControl w:val="0"/>
        <w:wordWrap/>
        <w:topLinePunct w:val="0"/>
        <w:bidi w:val="0"/>
        <w:spacing w:beforeAutospacing="0" w:afterAutospacing="0" w:line="560" w:lineRule="exact"/>
        <w:ind w:left="0" w:leftChars="0" w:firstLine="640" w:firstLineChars="200"/>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1.对符合条件的文化、体育企业，按最高不超过上年度实际支付租金的35%给予房租补贴，每家单位每年最高不超过150万元，资助期限不超过3年；对入驻市级以上文化、体育产业园区的文化、体育企业，因园区城市更新搬迁至南山区内其他社会物业的，按实际支付租金的25%给予房租补贴，每家企业每年最高不超过60万元，资助期限不超过2年。</w:t>
      </w:r>
    </w:p>
    <w:p>
      <w:pPr>
        <w:keepNext w:val="0"/>
        <w:keepLines w:val="0"/>
        <w:pageBreakBefore w:val="0"/>
        <w:widowControl w:val="0"/>
        <w:wordWrap/>
        <w:topLinePunct w:val="0"/>
        <w:bidi w:val="0"/>
        <w:spacing w:beforeAutospacing="0" w:afterAutospacing="0" w:line="560" w:lineRule="exact"/>
        <w:ind w:left="0" w:leftChars="0" w:firstLine="640" w:firstLineChars="200"/>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2.对符合条件的电竞企业，按照上年度实际支付租金的35%给予房租补贴，每个企业每年不超过150万元，资助期限不超过3年；对租赁物业的电竞场馆，</w:t>
      </w:r>
      <w:r>
        <w:rPr>
          <w:rFonts w:hint="eastAsia" w:ascii="仿宋_GB2312" w:hAnsi="仿宋" w:eastAsia="仿宋_GB2312" w:cs="仿宋"/>
          <w:color w:val="000000" w:themeColor="text1"/>
          <w:sz w:val="32"/>
          <w:szCs w:val="32"/>
          <w14:textFill>
            <w14:solidFill>
              <w14:schemeClr w14:val="tx1"/>
            </w14:solidFill>
          </w14:textFill>
        </w:rPr>
        <w:t>按照实际支付租金的50%给予补贴，每个电竞场馆每年不超过100万元，资助期限不超过3年</w:t>
      </w:r>
      <w:r>
        <w:rPr>
          <w:rFonts w:hint="eastAsia" w:ascii="仿宋_GB2312" w:hAnsi="仿宋" w:eastAsia="仿宋_GB2312" w:cs="仿宋"/>
          <w:color w:val="000000" w:themeColor="text1"/>
          <w:sz w:val="32"/>
          <w:szCs w:val="32"/>
          <w:lang w:eastAsia="zh-CN"/>
          <w14:textFill>
            <w14:solidFill>
              <w14:schemeClr w14:val="tx1"/>
            </w14:solidFill>
          </w14:textFill>
        </w:rPr>
        <w:t>；对</w:t>
      </w:r>
      <w:r>
        <w:rPr>
          <w:rFonts w:hint="eastAsia" w:ascii="仿宋_GB2312" w:hAnsi="仿宋" w:eastAsia="仿宋_GB2312" w:cs="仿宋"/>
          <w:color w:val="000000" w:themeColor="text1"/>
          <w:sz w:val="32"/>
          <w:szCs w:val="32"/>
          <w14:textFill>
            <w14:solidFill>
              <w14:schemeClr w14:val="tx1"/>
            </w14:solidFill>
          </w14:textFill>
        </w:rPr>
        <w:t>租用教室的电竞培训机构，按照实际支付租金的</w:t>
      </w:r>
      <w:r>
        <w:rPr>
          <w:rFonts w:ascii="仿宋_GB2312" w:hAnsi="仿宋" w:eastAsia="仿宋_GB2312" w:cs="仿宋"/>
          <w:color w:val="000000" w:themeColor="text1"/>
          <w:sz w:val="32"/>
          <w:szCs w:val="32"/>
          <w14:textFill>
            <w14:solidFill>
              <w14:schemeClr w14:val="tx1"/>
            </w14:solidFill>
          </w14:textFill>
        </w:rPr>
        <w:t>3</w:t>
      </w:r>
      <w:r>
        <w:rPr>
          <w:rFonts w:hint="eastAsia" w:ascii="仿宋_GB2312" w:hAnsi="仿宋" w:eastAsia="仿宋_GB2312" w:cs="仿宋"/>
          <w:color w:val="000000" w:themeColor="text1"/>
          <w:sz w:val="32"/>
          <w:szCs w:val="32"/>
          <w14:textFill>
            <w14:solidFill>
              <w14:schemeClr w14:val="tx1"/>
            </w14:solidFill>
          </w14:textFill>
        </w:rPr>
        <w:t>5%给予补贴，每个机构每年不超过</w:t>
      </w:r>
      <w:r>
        <w:rPr>
          <w:rFonts w:ascii="仿宋_GB2312" w:hAnsi="仿宋" w:eastAsia="仿宋_GB2312" w:cs="仿宋"/>
          <w:color w:val="000000" w:themeColor="text1"/>
          <w:sz w:val="32"/>
          <w:szCs w:val="32"/>
          <w14:textFill>
            <w14:solidFill>
              <w14:schemeClr w14:val="tx1"/>
            </w14:solidFill>
          </w14:textFill>
        </w:rPr>
        <w:t>5</w:t>
      </w:r>
      <w:r>
        <w:rPr>
          <w:rFonts w:hint="eastAsia" w:ascii="仿宋_GB2312" w:hAnsi="仿宋" w:eastAsia="仿宋_GB2312" w:cs="仿宋"/>
          <w:color w:val="000000" w:themeColor="text1"/>
          <w:sz w:val="32"/>
          <w:szCs w:val="32"/>
          <w14:textFill>
            <w14:solidFill>
              <w14:schemeClr w14:val="tx1"/>
            </w14:solidFill>
          </w14:textFill>
        </w:rPr>
        <w:t>0万元，资助期限不超过</w:t>
      </w:r>
      <w:r>
        <w:rPr>
          <w:rFonts w:ascii="仿宋_GB2312" w:hAnsi="仿宋" w:eastAsia="仿宋_GB2312" w:cs="仿宋"/>
          <w:color w:val="000000" w:themeColor="text1"/>
          <w:sz w:val="32"/>
          <w:szCs w:val="32"/>
          <w14:textFill>
            <w14:solidFill>
              <w14:schemeClr w14:val="tx1"/>
            </w14:solidFill>
          </w14:textFill>
        </w:rPr>
        <w:t>3年</w:t>
      </w:r>
      <w:r>
        <w:rPr>
          <w:rFonts w:hint="eastAsia" w:ascii="仿宋_GB2312" w:hAnsi="仿宋" w:eastAsia="仿宋_GB2312"/>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bidi w:val="0"/>
        <w:spacing w:beforeAutospacing="0" w:afterAutospacing="0" w:line="560" w:lineRule="exact"/>
        <w:ind w:left="0" w:lef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十三）【行业协会】对在本辖区范围内租赁社会办公用房的重点行业协会或上年综合评估前30名的行业协会，按实际支付租金的50%且不超过50元/平方米/月的标准给予资助，每家行业协会每年的资助金额最高不超过30万元，资助期限不超过三年。</w:t>
      </w:r>
    </w:p>
    <w:p>
      <w:pPr>
        <w:keepNext w:val="0"/>
        <w:keepLines w:val="0"/>
        <w:pageBreakBefore w:val="0"/>
        <w:widowControl w:val="0"/>
        <w:kinsoku/>
        <w:wordWrap/>
        <w:overflowPunct/>
        <w:topLinePunct w:val="0"/>
        <w:autoSpaceDE/>
        <w:bidi w:val="0"/>
        <w:spacing w:beforeAutospacing="0" w:afterAutospacing="0" w:line="560" w:lineRule="exact"/>
        <w:ind w:left="0" w:leftChars="0" w:firstLine="0" w:firstLineChars="0"/>
        <w:jc w:val="center"/>
        <w:textAlignment w:val="auto"/>
        <w:rPr>
          <w:rFonts w:hint="eastAsia" w:ascii="黑体" w:hAnsi="黑体" w:eastAsia="黑体"/>
          <w:sz w:val="32"/>
          <w:szCs w:val="32"/>
          <w:lang w:eastAsia="zh-CN"/>
        </w:rPr>
      </w:pPr>
    </w:p>
    <w:p>
      <w:pPr>
        <w:keepNext w:val="0"/>
        <w:keepLines w:val="0"/>
        <w:pageBreakBefore w:val="0"/>
        <w:widowControl w:val="0"/>
        <w:kinsoku/>
        <w:wordWrap/>
        <w:overflowPunct/>
        <w:topLinePunct w:val="0"/>
        <w:autoSpaceDE/>
        <w:bidi w:val="0"/>
        <w:spacing w:beforeAutospacing="0" w:afterAutospacing="0" w:line="560" w:lineRule="exact"/>
        <w:ind w:left="0" w:leftChars="0" w:firstLine="0" w:firstLineChars="0"/>
        <w:jc w:val="center"/>
        <w:textAlignment w:val="auto"/>
        <w:rPr>
          <w:rFonts w:hint="eastAsia" w:ascii="黑体" w:hAnsi="黑体" w:eastAsia="黑体"/>
          <w:sz w:val="32"/>
          <w:szCs w:val="32"/>
          <w:lang w:val="en-US" w:eastAsia="zh-CN"/>
        </w:rPr>
      </w:pPr>
      <w:r>
        <w:rPr>
          <w:rFonts w:hint="eastAsia" w:ascii="黑体" w:hAnsi="黑体" w:eastAsia="黑体"/>
          <w:sz w:val="32"/>
          <w:szCs w:val="32"/>
          <w:lang w:eastAsia="zh-CN"/>
        </w:rPr>
        <w:t>第四章</w:t>
      </w:r>
      <w:r>
        <w:rPr>
          <w:rFonts w:hint="eastAsia" w:ascii="黑体" w:hAnsi="黑体" w:eastAsia="黑体"/>
          <w:sz w:val="32"/>
          <w:szCs w:val="32"/>
          <w:lang w:val="en-US" w:eastAsia="zh-CN"/>
        </w:rPr>
        <w:t xml:space="preserve">  装修扶持</w:t>
      </w:r>
    </w:p>
    <w:p>
      <w:pPr>
        <w:keepNext w:val="0"/>
        <w:keepLines w:val="0"/>
        <w:pageBreakBefore w:val="0"/>
        <w:widowControl w:val="0"/>
        <w:kinsoku/>
        <w:wordWrap/>
        <w:overflowPunct/>
        <w:topLinePunct w:val="0"/>
        <w:autoSpaceDE/>
        <w:bidi w:val="0"/>
        <w:spacing w:beforeAutospacing="0" w:afterAutospacing="0" w:line="560" w:lineRule="exact"/>
        <w:ind w:left="0" w:leftChars="0" w:firstLine="640" w:firstLineChars="0"/>
        <w:jc w:val="left"/>
        <w:textAlignment w:val="auto"/>
        <w:rPr>
          <w:rFonts w:hint="eastAsia" w:ascii="黑体" w:hAnsi="黑体" w:eastAsia="黑体"/>
          <w:sz w:val="32"/>
          <w:szCs w:val="32"/>
          <w:lang w:val="en-US" w:eastAsia="zh-CN"/>
        </w:rPr>
      </w:pPr>
    </w:p>
    <w:p>
      <w:pPr>
        <w:keepNext w:val="0"/>
        <w:keepLines w:val="0"/>
        <w:pageBreakBefore w:val="0"/>
        <w:widowControl w:val="0"/>
        <w:kinsoku/>
        <w:wordWrap/>
        <w:overflowPunct/>
        <w:topLinePunct w:val="0"/>
        <w:autoSpaceDE/>
        <w:bidi w:val="0"/>
        <w:spacing w:beforeAutospacing="0" w:afterAutospacing="0" w:line="560" w:lineRule="exact"/>
        <w:ind w:left="0" w:leftChars="0" w:firstLine="640" w:firstLineChars="0"/>
        <w:jc w:val="both"/>
        <w:textAlignment w:val="auto"/>
        <w:rPr>
          <w:rFonts w:hint="eastAsia" w:ascii="仿宋_GB2312" w:hAnsi="仿宋_GB2312" w:eastAsia="仿宋_GB2312" w:cs="黑体"/>
          <w:b w:val="0"/>
          <w:bCs w:val="0"/>
          <w:kern w:val="2"/>
          <w:sz w:val="32"/>
          <w:szCs w:val="32"/>
          <w:lang w:val="en-US" w:eastAsia="zh-CN"/>
        </w:rPr>
      </w:pPr>
      <w:r>
        <w:rPr>
          <w:rFonts w:hint="eastAsia" w:ascii="楷体_GB2312" w:hAnsi="楷体_GB2312" w:eastAsia="楷体_GB2312" w:cs="楷体_GB2312"/>
          <w:b/>
          <w:color w:val="auto"/>
          <w:kern w:val="2"/>
          <w:sz w:val="32"/>
          <w:szCs w:val="24"/>
          <w:highlight w:val="none"/>
          <w:lang w:val="en-US" w:eastAsia="zh-CN"/>
        </w:rPr>
        <w:t xml:space="preserve">第五条 </w:t>
      </w:r>
      <w:r>
        <w:rPr>
          <w:rFonts w:hint="eastAsia" w:ascii="黑体" w:hAnsi="黑体" w:eastAsia="黑体"/>
          <w:sz w:val="32"/>
          <w:szCs w:val="32"/>
          <w:lang w:val="en-US" w:eastAsia="zh-CN"/>
        </w:rPr>
        <w:t xml:space="preserve"> </w:t>
      </w:r>
      <w:bookmarkStart w:id="160" w:name="_Toc30119"/>
      <w:bookmarkStart w:id="161" w:name="_Toc5696_WPSOffice_Level1"/>
      <w:r>
        <w:rPr>
          <w:rFonts w:hint="eastAsia" w:ascii="仿宋_GB2312" w:hAnsi="仿宋_GB2312" w:eastAsia="仿宋_GB2312" w:cs="黑体"/>
          <w:b w:val="0"/>
          <w:bCs w:val="0"/>
          <w:kern w:val="2"/>
          <w:sz w:val="32"/>
          <w:szCs w:val="32"/>
          <w:lang w:val="en-US" w:eastAsia="zh-CN"/>
        </w:rPr>
        <w:t>对符合条件的新引进企业在南山区装修自用办公用房的，按500元/平方米的标准，给予最高600万元的一次性补贴。</w:t>
      </w:r>
    </w:p>
    <w:p>
      <w:pPr>
        <w:keepNext w:val="0"/>
        <w:keepLines w:val="0"/>
        <w:pageBreakBefore w:val="0"/>
        <w:widowControl w:val="0"/>
        <w:kinsoku/>
        <w:wordWrap/>
        <w:overflowPunct/>
        <w:topLinePunct w:val="0"/>
        <w:autoSpaceDE/>
        <w:bidi w:val="0"/>
        <w:spacing w:beforeAutospacing="0" w:afterAutospacing="0" w:line="560" w:lineRule="exact"/>
        <w:ind w:left="0" w:leftChars="0"/>
        <w:jc w:val="center"/>
        <w:textAlignment w:val="auto"/>
        <w:rPr>
          <w:rFonts w:hint="eastAsia" w:ascii="黑体" w:hAnsi="黑体" w:eastAsia="黑体"/>
          <w:sz w:val="32"/>
          <w:szCs w:val="32"/>
          <w:lang w:val="en-US" w:eastAsia="zh-CN"/>
        </w:rPr>
      </w:pPr>
    </w:p>
    <w:p>
      <w:pPr>
        <w:keepNext w:val="0"/>
        <w:keepLines w:val="0"/>
        <w:pageBreakBefore w:val="0"/>
        <w:widowControl w:val="0"/>
        <w:kinsoku/>
        <w:wordWrap/>
        <w:overflowPunct/>
        <w:topLinePunct w:val="0"/>
        <w:autoSpaceDE/>
        <w:bidi w:val="0"/>
        <w:spacing w:beforeAutospacing="0" w:afterAutospacing="0" w:line="560" w:lineRule="exact"/>
        <w:ind w:left="0" w:leftChars="0"/>
        <w:jc w:val="center"/>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第五章  附  则</w:t>
      </w:r>
    </w:p>
    <w:p>
      <w:pPr>
        <w:keepNext w:val="0"/>
        <w:keepLines w:val="0"/>
        <w:pageBreakBefore w:val="0"/>
        <w:widowControl w:val="0"/>
        <w:kinsoku/>
        <w:wordWrap/>
        <w:overflowPunct/>
        <w:topLinePunct w:val="0"/>
        <w:autoSpaceDE/>
        <w:bidi w:val="0"/>
        <w:spacing w:beforeAutospacing="0" w:afterAutospacing="0" w:line="560" w:lineRule="exact"/>
        <w:ind w:left="0" w:leftChars="0" w:firstLine="640" w:firstLineChars="200"/>
        <w:jc w:val="both"/>
        <w:textAlignment w:val="auto"/>
        <w:rPr>
          <w:rFonts w:hint="default" w:ascii="黑体" w:hAnsi="黑体" w:eastAsia="黑体"/>
          <w:sz w:val="32"/>
          <w:szCs w:val="32"/>
          <w:lang w:val="en-US" w:eastAsia="zh-CN"/>
        </w:rPr>
      </w:pPr>
    </w:p>
    <w:p>
      <w:pPr>
        <w:keepNext w:val="0"/>
        <w:keepLines w:val="0"/>
        <w:pageBreakBefore w:val="0"/>
        <w:widowControl w:val="0"/>
        <w:kinsoku/>
        <w:wordWrap/>
        <w:overflowPunct/>
        <w:topLinePunct w:val="0"/>
        <w:autoSpaceDE/>
        <w:bidi w:val="0"/>
        <w:spacing w:beforeAutospacing="0" w:afterAutospacing="0" w:line="560" w:lineRule="exact"/>
        <w:ind w:left="0" w:leftChars="0" w:firstLine="643" w:firstLineChars="200"/>
        <w:jc w:val="both"/>
        <w:textAlignment w:val="auto"/>
        <w:rPr>
          <w:rFonts w:hint="default" w:ascii="仿宋_GB2312" w:hAnsi="仿宋_GB2312" w:eastAsia="仿宋_GB2312" w:cs="黑体"/>
          <w:b w:val="0"/>
          <w:bCs w:val="0"/>
          <w:kern w:val="2"/>
          <w:sz w:val="32"/>
          <w:szCs w:val="32"/>
        </w:rPr>
      </w:pPr>
      <w:r>
        <w:rPr>
          <w:rFonts w:hint="eastAsia" w:ascii="楷体_GB2312" w:hAnsi="楷体_GB2312" w:eastAsia="楷体_GB2312" w:cs="楷体_GB2312"/>
          <w:b/>
          <w:color w:val="auto"/>
          <w:kern w:val="2"/>
          <w:sz w:val="32"/>
          <w:szCs w:val="24"/>
          <w:highlight w:val="none"/>
          <w:lang w:val="en-US" w:eastAsia="zh-CN"/>
        </w:rPr>
        <w:t>第六条</w:t>
      </w:r>
      <w:r>
        <w:rPr>
          <w:rFonts w:hint="eastAsia" w:ascii="楷体_GB2312" w:hAnsi="楷体_GB2312" w:eastAsia="楷体_GB2312" w:cs="楷体_GB2312"/>
          <w:b/>
          <w:color w:val="auto"/>
          <w:kern w:val="2"/>
          <w:sz w:val="32"/>
          <w:szCs w:val="24"/>
          <w:highlight w:val="none"/>
          <w:lang w:val="en-US" w:eastAsia="zh-CN" w:bidi="ar-SA"/>
        </w:rPr>
        <w:t xml:space="preserve"> </w:t>
      </w:r>
      <w:r>
        <w:rPr>
          <w:rFonts w:hint="default" w:ascii="Times New Roman" w:hAnsi="Times New Roman" w:eastAsia="黑体" w:cs="Times New Roman"/>
          <w:b w:val="0"/>
          <w:kern w:val="44"/>
          <w:sz w:val="36"/>
          <w:szCs w:val="24"/>
          <w:lang w:val="en-US" w:eastAsia="zh-CN" w:bidi="ar-SA"/>
        </w:rPr>
        <w:t xml:space="preserve"> </w:t>
      </w:r>
      <w:bookmarkEnd w:id="160"/>
      <w:bookmarkEnd w:id="161"/>
      <w:r>
        <w:rPr>
          <w:rFonts w:hint="default" w:ascii="仿宋_GB2312" w:hAnsi="仿宋_GB2312" w:eastAsia="仿宋_GB2312" w:cs="黑体"/>
          <w:b w:val="0"/>
          <w:bCs w:val="0"/>
          <w:kern w:val="2"/>
          <w:sz w:val="32"/>
          <w:szCs w:val="32"/>
        </w:rPr>
        <w:t>对符合南山区产业发展方向和产业政策，对辖区经济乃至深圳、湾区经济发展有重大影响或突出经济贡献的项目，由相关单位向主管部门提出申请，主管部门提出受理意见，并组织专家评审，按“一事一议”的方式报区自主创新产业发展专项资金领导小组会议审议，对其购置（租赁）实际需要的用房扶持金额可以相应提高，</w:t>
      </w:r>
      <w:r>
        <w:rPr>
          <w:rFonts w:hint="eastAsia" w:ascii="仿宋_GB2312" w:hAnsi="仿宋_GB2312" w:eastAsia="仿宋_GB2312" w:cs="黑体"/>
          <w:b w:val="0"/>
          <w:bCs w:val="0"/>
          <w:kern w:val="2"/>
          <w:sz w:val="32"/>
          <w:szCs w:val="32"/>
          <w:lang w:eastAsia="zh-CN"/>
        </w:rPr>
        <w:t>但扶持</w:t>
      </w:r>
      <w:r>
        <w:rPr>
          <w:rFonts w:hint="default" w:ascii="仿宋_GB2312" w:hAnsi="仿宋_GB2312" w:eastAsia="仿宋_GB2312" w:cs="黑体"/>
          <w:b w:val="0"/>
          <w:bCs w:val="0"/>
          <w:kern w:val="2"/>
          <w:sz w:val="32"/>
          <w:szCs w:val="32"/>
        </w:rPr>
        <w:t>总额不超</w:t>
      </w:r>
      <w:r>
        <w:rPr>
          <w:rFonts w:hint="eastAsia" w:ascii="仿宋_GB2312" w:hAnsi="仿宋_GB2312" w:eastAsia="仿宋_GB2312" w:cs="黑体"/>
          <w:b w:val="0"/>
          <w:bCs w:val="0"/>
          <w:kern w:val="2"/>
          <w:sz w:val="32"/>
          <w:szCs w:val="32"/>
          <w:lang w:eastAsia="zh-CN"/>
        </w:rPr>
        <w:t>过原资助标准的</w:t>
      </w:r>
      <w:r>
        <w:rPr>
          <w:rFonts w:hint="eastAsia" w:ascii="仿宋_GB2312" w:hAnsi="仿宋_GB2312" w:eastAsia="仿宋_GB2312" w:cs="黑体"/>
          <w:b w:val="0"/>
          <w:bCs w:val="0"/>
          <w:kern w:val="2"/>
          <w:sz w:val="32"/>
          <w:szCs w:val="32"/>
          <w:lang w:val="en-US" w:eastAsia="zh-CN"/>
        </w:rPr>
        <w:t>2倍</w:t>
      </w:r>
      <w:r>
        <w:rPr>
          <w:rFonts w:hint="default" w:ascii="仿宋_GB2312" w:hAnsi="仿宋_GB2312" w:eastAsia="仿宋_GB2312" w:cs="黑体"/>
          <w:b w:val="0"/>
          <w:bCs w:val="0"/>
          <w:kern w:val="2"/>
          <w:sz w:val="32"/>
          <w:szCs w:val="32"/>
        </w:rPr>
        <w:t>。</w:t>
      </w:r>
    </w:p>
    <w:p>
      <w:pPr>
        <w:keepNext w:val="0"/>
        <w:keepLines w:val="0"/>
        <w:pageBreakBefore w:val="0"/>
        <w:widowControl w:val="0"/>
        <w:kinsoku/>
        <w:wordWrap/>
        <w:overflowPunct/>
        <w:topLinePunct w:val="0"/>
        <w:autoSpaceDE/>
        <w:autoSpaceDN w:val="0"/>
        <w:bidi w:val="0"/>
        <w:adjustRightInd/>
        <w:snapToGrid/>
        <w:spacing w:beforeAutospacing="0" w:afterAutospacing="0" w:line="560" w:lineRule="exact"/>
        <w:ind w:left="0" w:leftChars="0" w:firstLine="643" w:firstLineChars="200"/>
        <w:jc w:val="both"/>
        <w:textAlignment w:val="auto"/>
        <w:rPr>
          <w:rFonts w:hint="default" w:ascii="仿宋_GB2312" w:hAnsi="仿宋_GB2312" w:eastAsia="仿宋_GB2312" w:cs="黑体"/>
          <w:b w:val="0"/>
          <w:bCs w:val="0"/>
          <w:kern w:val="2"/>
          <w:sz w:val="32"/>
          <w:szCs w:val="32"/>
          <w:lang w:val="en-US" w:eastAsia="zh-CN"/>
        </w:rPr>
      </w:pPr>
      <w:r>
        <w:rPr>
          <w:rFonts w:hint="eastAsia" w:ascii="楷体_GB2312" w:hAnsi="楷体_GB2312" w:eastAsia="楷体_GB2312" w:cs="楷体_GB2312"/>
          <w:b/>
          <w:color w:val="auto"/>
          <w:kern w:val="2"/>
          <w:sz w:val="32"/>
          <w:szCs w:val="24"/>
          <w:highlight w:val="none"/>
          <w:lang w:val="en-US" w:eastAsia="zh-CN"/>
        </w:rPr>
        <w:t>第七条</w:t>
      </w:r>
      <w:r>
        <w:rPr>
          <w:rFonts w:hint="eastAsia" w:ascii="楷体_GB2312" w:hAnsi="楷体_GB2312" w:eastAsia="楷体_GB2312" w:cs="楷体_GB2312"/>
          <w:b/>
          <w:bCs w:val="0"/>
          <w:color w:val="auto"/>
          <w:kern w:val="2"/>
          <w:sz w:val="32"/>
          <w:szCs w:val="24"/>
          <w:highlight w:val="none"/>
          <w:lang w:val="en-US" w:eastAsia="zh-CN" w:bidi="ar-SA"/>
        </w:rPr>
        <w:t xml:space="preserve"> </w:t>
      </w:r>
      <w:r>
        <w:rPr>
          <w:rFonts w:hint="default" w:ascii="仿宋_GB2312" w:hAnsi="仿宋_GB2312" w:eastAsia="仿宋_GB2312" w:cs="黑体"/>
          <w:b w:val="0"/>
          <w:bCs w:val="0"/>
          <w:kern w:val="2"/>
          <w:sz w:val="32"/>
          <w:szCs w:val="32"/>
          <w:lang w:val="en-US" w:eastAsia="zh-CN" w:bidi="ar-SA"/>
        </w:rPr>
        <w:t xml:space="preserve"> </w:t>
      </w:r>
      <w:r>
        <w:rPr>
          <w:rFonts w:hint="default" w:ascii="仿宋_GB2312" w:hAnsi="仿宋_GB2312" w:eastAsia="仿宋_GB2312" w:cs="黑体"/>
          <w:b w:val="0"/>
          <w:bCs w:val="0"/>
          <w:kern w:val="2"/>
          <w:sz w:val="32"/>
          <w:szCs w:val="32"/>
          <w:lang w:val="en-US" w:eastAsia="zh-CN"/>
        </w:rPr>
        <w:t>本措施自发布之日起施行，有效期三年，由区企服中心负责解释</w:t>
      </w:r>
      <w:r>
        <w:rPr>
          <w:rFonts w:hint="eastAsia" w:ascii="仿宋_GB2312" w:hAnsi="仿宋_GB2312" w:eastAsia="仿宋_GB2312" w:cs="黑体"/>
          <w:b w:val="0"/>
          <w:bCs w:val="0"/>
          <w:kern w:val="2"/>
          <w:sz w:val="32"/>
          <w:szCs w:val="32"/>
          <w:lang w:val="en-US" w:eastAsia="zh-CN"/>
        </w:rPr>
        <w:t>，</w:t>
      </w:r>
      <w:r>
        <w:rPr>
          <w:rFonts w:hint="eastAsia" w:ascii="仿宋_GB2312" w:hAnsi="仿宋_GB2312" w:eastAsia="仿宋_GB2312" w:cs="黑体"/>
          <w:b w:val="0"/>
          <w:bCs w:val="0"/>
          <w:kern w:val="2"/>
          <w:sz w:val="32"/>
          <w:szCs w:val="32"/>
          <w:lang w:eastAsia="zh-CN"/>
        </w:rPr>
        <w:t>具体解释工作由相关资金主管部门承担</w:t>
      </w:r>
      <w:r>
        <w:rPr>
          <w:rFonts w:hint="default" w:ascii="仿宋_GB2312" w:hAnsi="仿宋_GB2312" w:eastAsia="仿宋_GB2312" w:cs="黑体"/>
          <w:b w:val="0"/>
          <w:bCs w:val="0"/>
          <w:kern w:val="2"/>
          <w:sz w:val="32"/>
          <w:szCs w:val="32"/>
          <w:lang w:val="en-US" w:eastAsia="zh-CN"/>
        </w:rPr>
        <w:t>。</w:t>
      </w:r>
    </w:p>
    <w:p>
      <w:pPr>
        <w:pStyle w:val="2"/>
        <w:keepNext w:val="0"/>
        <w:keepLines w:val="0"/>
        <w:pageBreakBefore w:val="0"/>
        <w:widowControl w:val="0"/>
        <w:wordWrap/>
        <w:topLinePunct w:val="0"/>
        <w:bidi w:val="0"/>
        <w:spacing w:before="0" w:beforeLines="0" w:beforeAutospacing="0" w:after="0" w:afterLines="0" w:afterAutospacing="0" w:line="560" w:lineRule="exact"/>
        <w:ind w:left="0" w:leftChars="0"/>
        <w:rPr>
          <w:rFonts w:hint="default" w:ascii="仿宋_GB2312" w:hAnsi="仿宋_GB2312" w:eastAsia="仿宋_GB2312" w:cs="黑体"/>
          <w:b w:val="0"/>
          <w:bCs w:val="0"/>
          <w:kern w:val="2"/>
          <w:sz w:val="32"/>
          <w:szCs w:val="32"/>
          <w:lang w:val="en-US" w:eastAsia="zh-CN"/>
        </w:rPr>
      </w:pPr>
    </w:p>
    <w:p>
      <w:pPr>
        <w:keepNext w:val="0"/>
        <w:keepLines w:val="0"/>
        <w:pageBreakBefore w:val="0"/>
        <w:widowControl w:val="0"/>
        <w:wordWrap/>
        <w:topLinePunct w:val="0"/>
        <w:bidi w:val="0"/>
        <w:spacing w:beforeAutospacing="0" w:afterAutospacing="0" w:line="560" w:lineRule="exact"/>
        <w:ind w:left="0" w:leftChars="0"/>
        <w:rPr>
          <w:rFonts w:hint="default" w:ascii="仿宋_GB2312" w:hAnsi="仿宋_GB2312" w:eastAsia="仿宋_GB2312" w:cs="黑体"/>
          <w:b w:val="0"/>
          <w:bCs w:val="0"/>
          <w:kern w:val="2"/>
          <w:sz w:val="32"/>
          <w:szCs w:val="32"/>
          <w:lang w:val="en-US" w:eastAsia="zh-CN"/>
        </w:rPr>
      </w:pPr>
    </w:p>
    <w:p>
      <w:pPr>
        <w:pStyle w:val="2"/>
        <w:keepNext w:val="0"/>
        <w:keepLines w:val="0"/>
        <w:pageBreakBefore w:val="0"/>
        <w:widowControl w:val="0"/>
        <w:wordWrap/>
        <w:topLinePunct w:val="0"/>
        <w:bidi w:val="0"/>
        <w:spacing w:before="0" w:beforeLines="0" w:beforeAutospacing="0" w:after="0" w:afterLines="0" w:afterAutospacing="0" w:line="560" w:lineRule="exact"/>
        <w:ind w:left="0" w:leftChars="0"/>
        <w:rPr>
          <w:rFonts w:hint="default" w:ascii="仿宋_GB2312" w:hAnsi="仿宋_GB2312" w:eastAsia="仿宋_GB2312" w:cs="黑体"/>
          <w:b w:val="0"/>
          <w:bCs w:val="0"/>
          <w:kern w:val="2"/>
          <w:sz w:val="32"/>
          <w:szCs w:val="32"/>
          <w:lang w:val="en-US" w:eastAsia="zh-CN"/>
        </w:rPr>
      </w:pPr>
    </w:p>
    <w:p>
      <w:pPr>
        <w:keepNext w:val="0"/>
        <w:keepLines w:val="0"/>
        <w:pageBreakBefore w:val="0"/>
        <w:widowControl w:val="0"/>
        <w:wordWrap/>
        <w:topLinePunct w:val="0"/>
        <w:bidi w:val="0"/>
        <w:spacing w:beforeAutospacing="0" w:afterAutospacing="0" w:line="560" w:lineRule="exact"/>
        <w:ind w:left="0" w:leftChars="0"/>
        <w:rPr>
          <w:rFonts w:hint="default" w:ascii="仿宋_GB2312" w:hAnsi="仿宋_GB2312" w:eastAsia="仿宋_GB2312" w:cs="黑体"/>
          <w:b w:val="0"/>
          <w:bCs w:val="0"/>
          <w:kern w:val="2"/>
          <w:sz w:val="32"/>
          <w:szCs w:val="32"/>
          <w:lang w:val="en-US" w:eastAsia="zh-CN"/>
        </w:rPr>
      </w:pPr>
    </w:p>
    <w:p>
      <w:pPr>
        <w:pStyle w:val="2"/>
        <w:keepNext w:val="0"/>
        <w:keepLines w:val="0"/>
        <w:pageBreakBefore w:val="0"/>
        <w:widowControl w:val="0"/>
        <w:wordWrap/>
        <w:topLinePunct w:val="0"/>
        <w:bidi w:val="0"/>
        <w:spacing w:before="0" w:beforeLines="0" w:beforeAutospacing="0" w:after="0" w:afterLines="0" w:afterAutospacing="0" w:line="560" w:lineRule="exact"/>
        <w:ind w:left="0" w:leftChars="0"/>
        <w:rPr>
          <w:rFonts w:hint="default" w:ascii="仿宋_GB2312" w:hAnsi="仿宋_GB2312" w:eastAsia="仿宋_GB2312" w:cs="黑体"/>
          <w:b w:val="0"/>
          <w:bCs w:val="0"/>
          <w:kern w:val="2"/>
          <w:sz w:val="32"/>
          <w:szCs w:val="32"/>
          <w:lang w:val="en-US" w:eastAsia="zh-CN"/>
        </w:rPr>
      </w:pPr>
    </w:p>
    <w:p>
      <w:pPr>
        <w:keepNext w:val="0"/>
        <w:keepLines w:val="0"/>
        <w:pageBreakBefore w:val="0"/>
        <w:widowControl w:val="0"/>
        <w:wordWrap/>
        <w:topLinePunct w:val="0"/>
        <w:bidi w:val="0"/>
        <w:spacing w:beforeAutospacing="0" w:afterAutospacing="0" w:line="560" w:lineRule="exact"/>
        <w:ind w:left="0" w:leftChars="0"/>
        <w:rPr>
          <w:rFonts w:hint="default" w:ascii="仿宋_GB2312" w:hAnsi="仿宋_GB2312" w:eastAsia="仿宋_GB2312" w:cs="黑体"/>
          <w:b w:val="0"/>
          <w:bCs w:val="0"/>
          <w:kern w:val="2"/>
          <w:sz w:val="32"/>
          <w:szCs w:val="32"/>
          <w:lang w:val="en-US" w:eastAsia="zh-CN"/>
        </w:rPr>
      </w:pPr>
    </w:p>
    <w:p>
      <w:pPr>
        <w:pStyle w:val="2"/>
        <w:rPr>
          <w:rFonts w:hint="default" w:ascii="仿宋_GB2312" w:hAnsi="仿宋_GB2312" w:eastAsia="仿宋_GB2312" w:cs="黑体"/>
          <w:b w:val="0"/>
          <w:bCs w:val="0"/>
          <w:kern w:val="2"/>
          <w:sz w:val="32"/>
          <w:szCs w:val="32"/>
          <w:lang w:val="en-US" w:eastAsia="zh-CN"/>
        </w:rPr>
      </w:pPr>
    </w:p>
    <w:p>
      <w:pPr>
        <w:rPr>
          <w:rFonts w:hint="default"/>
          <w:lang w:val="en-US" w:eastAsia="zh-CN"/>
        </w:rPr>
      </w:pPr>
    </w:p>
    <w:p>
      <w:pPr>
        <w:rPr>
          <w:rFonts w:hint="eastAsia" w:ascii="方正小标宋_GBK" w:hAnsi="方正小标宋_GBK" w:eastAsia="方正小标宋_GBK" w:cs="方正小标宋_GBK"/>
          <w:b w:val="0"/>
          <w:bCs w:val="0"/>
          <w:kern w:val="2"/>
          <w:sz w:val="44"/>
          <w:szCs w:val="44"/>
          <w:lang w:eastAsia="zh-CN"/>
        </w:rPr>
      </w:pPr>
      <w:r>
        <w:rPr>
          <w:rFonts w:hint="eastAsia" w:ascii="方正小标宋_GBK" w:hAnsi="方正小标宋_GBK" w:eastAsia="方正小标宋_GBK" w:cs="方正小标宋_GBK"/>
          <w:b w:val="0"/>
          <w:bCs w:val="0"/>
          <w:kern w:val="2"/>
          <w:sz w:val="44"/>
          <w:szCs w:val="44"/>
          <w:lang w:eastAsia="zh-CN"/>
        </w:rPr>
        <w:br w:type="page"/>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eastAsia" w:ascii="方正小标宋_GBK" w:hAnsi="方正小标宋_GBK" w:eastAsia="方正小标宋_GBK" w:cs="方正小标宋_GBK"/>
          <w:b w:val="0"/>
          <w:bCs w:val="0"/>
          <w:kern w:val="2"/>
          <w:sz w:val="44"/>
          <w:szCs w:val="44"/>
          <w:lang w:eastAsia="zh-CN"/>
        </w:rPr>
      </w:pPr>
      <w:r>
        <w:rPr>
          <w:rFonts w:hint="eastAsia" w:ascii="方正小标宋_GBK" w:hAnsi="方正小标宋_GBK" w:eastAsia="方正小标宋_GBK" w:cs="方正小标宋_GBK"/>
          <w:b w:val="0"/>
          <w:bCs w:val="0"/>
          <w:kern w:val="2"/>
          <w:sz w:val="44"/>
          <w:szCs w:val="44"/>
          <w:lang w:eastAsia="zh-CN"/>
        </w:rPr>
        <w:t>南山区服务企业保障措施</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jc w:val="center"/>
        <w:textAlignment w:val="auto"/>
        <w:rPr>
          <w:rFonts w:hint="eastAsia" w:ascii="宋体" w:hAnsi="宋体" w:eastAsia="宋体" w:cs="宋体"/>
          <w:b/>
          <w:bCs/>
          <w:lang w:eastAsia="zh-CN"/>
        </w:rPr>
      </w:pPr>
      <w:r>
        <w:rPr>
          <w:rFonts w:hint="eastAsia" w:ascii="宋体" w:hAnsi="宋体" w:eastAsia="宋体" w:cs="宋体"/>
          <w:b/>
          <w:bCs/>
          <w:lang w:eastAsia="zh-CN"/>
        </w:rPr>
        <w:t>（征求意见稿）</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center"/>
        <w:textAlignment w:val="auto"/>
        <w:rPr>
          <w:rFonts w:hint="eastAsia" w:ascii="黑体" w:hAnsi="黑体" w:eastAsia="黑体" w:cs="宋体"/>
          <w:color w:val="00000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center"/>
        <w:textAlignment w:val="auto"/>
        <w:rPr>
          <w:rFonts w:hint="eastAsia" w:ascii="黑体" w:hAnsi="黑体" w:eastAsia="黑体" w:cs="宋体"/>
          <w:color w:val="000000"/>
          <w:sz w:val="32"/>
          <w:szCs w:val="32"/>
          <w:lang w:eastAsia="zh-CN"/>
        </w:rPr>
      </w:pPr>
      <w:r>
        <w:rPr>
          <w:rFonts w:hint="eastAsia" w:ascii="黑体" w:hAnsi="黑体" w:eastAsia="黑体" w:cs="宋体"/>
          <w:color w:val="000000"/>
          <w:sz w:val="32"/>
          <w:szCs w:val="32"/>
        </w:rPr>
        <w:t>第一</w:t>
      </w:r>
      <w:r>
        <w:rPr>
          <w:rFonts w:hint="eastAsia" w:ascii="黑体" w:hAnsi="黑体" w:eastAsia="黑体" w:cs="宋体"/>
          <w:color w:val="000000"/>
          <w:sz w:val="32"/>
          <w:szCs w:val="32"/>
          <w:lang w:eastAsia="zh-CN"/>
        </w:rPr>
        <w:t>章</w:t>
      </w:r>
      <w:r>
        <w:rPr>
          <w:rFonts w:hint="eastAsia" w:ascii="黑体" w:hAnsi="黑体" w:eastAsia="黑体" w:cs="宋体"/>
          <w:color w:val="000000"/>
          <w:sz w:val="32"/>
          <w:szCs w:val="32"/>
          <w:lang w:val="en-US" w:eastAsia="zh-CN"/>
        </w:rPr>
        <w:t xml:space="preserve">  </w:t>
      </w:r>
      <w:r>
        <w:rPr>
          <w:rFonts w:hint="eastAsia" w:ascii="黑体" w:hAnsi="黑体" w:eastAsia="黑体" w:cs="宋体"/>
          <w:color w:val="000000"/>
          <w:sz w:val="32"/>
          <w:szCs w:val="32"/>
          <w:lang w:eastAsia="zh-CN"/>
        </w:rPr>
        <w:t>总</w:t>
      </w:r>
      <w:r>
        <w:rPr>
          <w:rFonts w:hint="eastAsia" w:ascii="黑体" w:hAnsi="黑体" w:eastAsia="黑体" w:cs="宋体"/>
          <w:color w:val="000000"/>
          <w:sz w:val="32"/>
          <w:szCs w:val="32"/>
          <w:lang w:val="en-US" w:eastAsia="zh-CN"/>
        </w:rPr>
        <w:t xml:space="preserve">  </w:t>
      </w:r>
      <w:r>
        <w:rPr>
          <w:rFonts w:hint="eastAsia" w:ascii="黑体" w:hAnsi="黑体" w:eastAsia="黑体" w:cs="宋体"/>
          <w:color w:val="000000"/>
          <w:sz w:val="32"/>
          <w:szCs w:val="32"/>
          <w:lang w:eastAsia="zh-CN"/>
        </w:rPr>
        <w:t>则</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outlineLvl w:val="2"/>
        <w:rPr>
          <w:rFonts w:hint="eastAsia" w:ascii="仿宋_GB2312" w:hAnsi="仿宋" w:eastAsia="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outlineLvl w:val="2"/>
        <w:rPr>
          <w:rFonts w:hint="eastAsia" w:ascii="仿宋_GB2312" w:hAnsi="仿宋" w:eastAsia="仿宋_GB2312"/>
          <w:sz w:val="32"/>
          <w:szCs w:val="32"/>
        </w:rPr>
      </w:pPr>
      <w:r>
        <w:rPr>
          <w:rFonts w:hint="eastAsia" w:ascii="楷体_GB2312" w:hAnsi="楷体_GB2312" w:eastAsia="楷体_GB2312" w:cs="楷体_GB2312"/>
          <w:b/>
          <w:bCs w:val="0"/>
          <w:color w:val="auto"/>
          <w:kern w:val="2"/>
          <w:sz w:val="32"/>
          <w:szCs w:val="24"/>
          <w:highlight w:val="none"/>
          <w:lang w:eastAsia="zh-CN"/>
        </w:rPr>
        <w:t>第一条</w:t>
      </w:r>
      <w:r>
        <w:rPr>
          <w:rFonts w:hint="eastAsia" w:ascii="楷体_GB2312" w:hAnsi="楷体_GB2312" w:eastAsia="楷体_GB2312" w:cs="楷体_GB2312"/>
          <w:b/>
          <w:bCs w:val="0"/>
          <w:color w:val="auto"/>
          <w:kern w:val="2"/>
          <w:sz w:val="32"/>
          <w:szCs w:val="24"/>
          <w:highlight w:val="none"/>
          <w:lang w:val="en-US" w:eastAsia="zh-CN"/>
        </w:rPr>
        <w:t xml:space="preserve">  </w:t>
      </w:r>
      <w:r>
        <w:rPr>
          <w:rFonts w:hint="eastAsia" w:ascii="仿宋_GB2312" w:hAnsi="仿宋" w:eastAsia="仿宋_GB2312"/>
          <w:sz w:val="32"/>
          <w:szCs w:val="32"/>
          <w:lang w:val="en-US" w:eastAsia="zh-CN"/>
        </w:rPr>
        <w:t>为贯彻落实区委区政府加快进一步服务企业决策部署，持续优化服务企业营商环境，帮助企业拓市场、破瓶颈、解难题，完善政企沟通、要素保障、企业减负等服务企业常态长效机制，为企业转型升级发展提供坚实保障</w:t>
      </w:r>
      <w:r>
        <w:rPr>
          <w:rFonts w:hint="eastAsia" w:ascii="仿宋_GB2312" w:hAnsi="仿宋" w:eastAsia="仿宋_GB2312"/>
          <w:sz w:val="32"/>
          <w:szCs w:val="32"/>
          <w:lang w:eastAsia="zh-CN"/>
        </w:rPr>
        <w:t>，</w:t>
      </w:r>
      <w:r>
        <w:rPr>
          <w:rFonts w:hint="eastAsia" w:ascii="仿宋_GB2312" w:hAnsi="仿宋" w:eastAsia="仿宋_GB2312"/>
          <w:sz w:val="32"/>
          <w:szCs w:val="32"/>
        </w:rPr>
        <w:t>结合</w:t>
      </w:r>
      <w:r>
        <w:rPr>
          <w:rFonts w:hint="eastAsia" w:ascii="仿宋_GB2312" w:hAnsi="仿宋" w:eastAsia="仿宋_GB2312"/>
          <w:sz w:val="32"/>
          <w:szCs w:val="32"/>
          <w:lang w:eastAsia="zh-CN"/>
        </w:rPr>
        <w:t>南山</w:t>
      </w:r>
      <w:r>
        <w:rPr>
          <w:rFonts w:hint="eastAsia" w:ascii="仿宋_GB2312" w:hAnsi="仿宋" w:eastAsia="仿宋_GB2312"/>
          <w:sz w:val="32"/>
          <w:szCs w:val="32"/>
        </w:rPr>
        <w:t>区</w:t>
      </w:r>
      <w:r>
        <w:rPr>
          <w:rFonts w:ascii="仿宋_GB2312" w:hAnsi="仿宋" w:eastAsia="仿宋_GB2312"/>
          <w:sz w:val="32"/>
          <w:szCs w:val="32"/>
        </w:rPr>
        <w:t>实际，</w:t>
      </w:r>
      <w:r>
        <w:rPr>
          <w:rFonts w:hint="eastAsia" w:ascii="仿宋_GB2312" w:hAnsi="仿宋" w:eastAsia="仿宋_GB2312"/>
          <w:sz w:val="32"/>
          <w:szCs w:val="32"/>
        </w:rPr>
        <w:t>制定本</w:t>
      </w:r>
      <w:r>
        <w:rPr>
          <w:rFonts w:hint="eastAsia" w:ascii="仿宋_GB2312" w:hAnsi="仿宋" w:eastAsia="仿宋_GB2312"/>
          <w:sz w:val="32"/>
          <w:szCs w:val="32"/>
          <w:lang w:eastAsia="zh-CN"/>
        </w:rPr>
        <w:t>措施</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outlineLvl w:val="2"/>
        <w:rPr>
          <w:rFonts w:hint="eastAsia" w:ascii="仿宋_GB2312" w:hAnsi="仿宋" w:eastAsia="仿宋_GB2312"/>
          <w:sz w:val="32"/>
          <w:szCs w:val="32"/>
          <w:lang w:val="en-US" w:eastAsia="zh-CN"/>
        </w:rPr>
      </w:pPr>
      <w:r>
        <w:rPr>
          <w:rFonts w:hint="eastAsia" w:ascii="楷体_GB2312" w:hAnsi="楷体_GB2312" w:eastAsia="楷体_GB2312" w:cs="楷体_GB2312"/>
          <w:b/>
          <w:bCs w:val="0"/>
          <w:color w:val="auto"/>
          <w:kern w:val="2"/>
          <w:sz w:val="32"/>
          <w:szCs w:val="24"/>
          <w:highlight w:val="none"/>
          <w:lang w:val="en-US" w:eastAsia="zh-CN"/>
        </w:rPr>
        <w:t xml:space="preserve">第二条  </w:t>
      </w:r>
      <w:r>
        <w:rPr>
          <w:rFonts w:hint="eastAsia" w:ascii="仿宋_GB2312" w:hAnsi="仿宋" w:eastAsia="仿宋_GB2312"/>
          <w:sz w:val="32"/>
          <w:szCs w:val="32"/>
          <w:lang w:val="en-US" w:eastAsia="zh-CN"/>
        </w:rPr>
        <w:t>本措施包括公共法律服务、知识产权服务、政务服务</w:t>
      </w:r>
      <w:r>
        <w:rPr>
          <w:rFonts w:hint="eastAsia" w:ascii="仿宋_GB2312" w:hAnsi="仿宋"/>
          <w:sz w:val="32"/>
          <w:szCs w:val="32"/>
          <w:lang w:val="en-US" w:eastAsia="zh-CN"/>
        </w:rPr>
        <w:t>和数据服务</w:t>
      </w:r>
      <w:r>
        <w:rPr>
          <w:rFonts w:hint="eastAsia" w:ascii="仿宋_GB2312" w:hAnsi="仿宋" w:eastAsia="仿宋_GB2312"/>
          <w:sz w:val="32"/>
          <w:szCs w:val="32"/>
          <w:lang w:val="en-US" w:eastAsia="zh-CN"/>
        </w:rPr>
        <w:t>及企业诉求协调办理服务等具体服务企业内容。</w:t>
      </w:r>
    </w:p>
    <w:p>
      <w:pPr>
        <w:pStyle w:val="2"/>
        <w:keepNext w:val="0"/>
        <w:keepLines w:val="0"/>
        <w:pageBreakBefore w:val="0"/>
        <w:widowControl w:val="0"/>
        <w:kinsoku/>
        <w:wordWrap/>
        <w:overflowPunct/>
        <w:topLinePunct w:val="0"/>
        <w:autoSpaceDE/>
        <w:bidi w:val="0"/>
        <w:adjustRightInd/>
        <w:snapToGrid/>
        <w:spacing w:before="0" w:beforeLines="0" w:beforeAutospacing="0" w:after="0" w:afterLines="0" w:afterAutospacing="0" w:line="560" w:lineRule="exact"/>
        <w:ind w:left="0" w:leftChars="0"/>
        <w:textAlignment w:val="auto"/>
        <w:rPr>
          <w:rFonts w:hint="eastAsia"/>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Autospacing="0" w:afterAutospacing="0" w:line="560" w:lineRule="exact"/>
        <w:ind w:left="0" w:leftChars="0"/>
        <w:jc w:val="center"/>
        <w:textAlignment w:val="auto"/>
        <w:rPr>
          <w:rFonts w:hint="eastAsia" w:ascii="黑体" w:hAnsi="黑体" w:eastAsia="黑体" w:cs="宋体"/>
          <w:color w:val="000000"/>
          <w:sz w:val="32"/>
          <w:szCs w:val="32"/>
          <w:lang w:val="en-US" w:eastAsia="zh-CN"/>
        </w:rPr>
      </w:pPr>
      <w:r>
        <w:rPr>
          <w:rFonts w:hint="eastAsia" w:ascii="黑体" w:hAnsi="黑体" w:eastAsia="黑体" w:cs="宋体"/>
          <w:color w:val="000000"/>
          <w:sz w:val="32"/>
          <w:szCs w:val="32"/>
          <w:lang w:val="en-US" w:eastAsia="zh-CN"/>
        </w:rPr>
        <w:t>第二章  公共法律服务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eastAsia" w:ascii="仿宋" w:hAnsi="仿宋" w:eastAsia="仿宋" w:cs="仿宋"/>
          <w:b/>
          <w:bCs/>
          <w:kern w:val="0"/>
          <w:sz w:val="32"/>
          <w:szCs w:val="32"/>
          <w:highlight w:val="none"/>
          <w:lang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eastAsia" w:ascii="仿宋_GB2312" w:hAnsi="仿宋_GB2312" w:eastAsia="仿宋_GB2312" w:cs="仿宋_GB2312"/>
          <w:b w:val="0"/>
          <w:bCs w:val="0"/>
          <w:kern w:val="0"/>
          <w:sz w:val="32"/>
          <w:szCs w:val="32"/>
          <w:highlight w:val="none"/>
          <w:lang w:eastAsia="zh-CN" w:bidi="ar"/>
        </w:rPr>
      </w:pPr>
      <w:r>
        <w:rPr>
          <w:rFonts w:hint="eastAsia" w:ascii="楷体_GB2312" w:hAnsi="楷体_GB2312" w:eastAsia="楷体_GB2312" w:cs="楷体_GB2312"/>
          <w:b/>
          <w:bCs w:val="0"/>
          <w:color w:val="auto"/>
          <w:kern w:val="2"/>
          <w:sz w:val="32"/>
          <w:szCs w:val="24"/>
          <w:highlight w:val="none"/>
          <w:lang w:eastAsia="zh-CN" w:bidi="ar"/>
        </w:rPr>
        <w:t xml:space="preserve">第三条 </w:t>
      </w:r>
      <w:r>
        <w:rPr>
          <w:rFonts w:hint="eastAsia" w:ascii="仿宋" w:hAnsi="仿宋" w:eastAsia="仿宋" w:cs="仿宋"/>
          <w:b w:val="0"/>
          <w:bCs w:val="0"/>
          <w:kern w:val="0"/>
          <w:sz w:val="32"/>
          <w:szCs w:val="32"/>
          <w:highlight w:val="none"/>
          <w:lang w:eastAsia="zh-CN" w:bidi="ar"/>
        </w:rPr>
        <w:t xml:space="preserve"> </w:t>
      </w:r>
      <w:r>
        <w:rPr>
          <w:rFonts w:hint="eastAsia" w:ascii="仿宋_GB2312" w:hAnsi="仿宋_GB2312" w:eastAsia="仿宋_GB2312" w:cs="仿宋_GB2312"/>
          <w:b w:val="0"/>
          <w:bCs w:val="0"/>
          <w:kern w:val="0"/>
          <w:sz w:val="32"/>
          <w:szCs w:val="32"/>
          <w:highlight w:val="none"/>
          <w:lang w:eastAsia="zh-CN" w:bidi="ar"/>
        </w:rPr>
        <w:t>开展形式丰富的“</w:t>
      </w:r>
      <w:r>
        <w:rPr>
          <w:rFonts w:hint="eastAsia" w:ascii="仿宋_GB2312" w:hAnsi="仿宋_GB2312" w:eastAsia="仿宋_GB2312" w:cs="仿宋_GB2312"/>
          <w:b w:val="0"/>
          <w:bCs w:val="0"/>
          <w:kern w:val="0"/>
          <w:sz w:val="32"/>
          <w:szCs w:val="32"/>
          <w:highlight w:val="none"/>
          <w:lang w:val="en-US" w:eastAsia="zh-CN" w:bidi="ar"/>
        </w:rPr>
        <w:t>送法进企业</w:t>
      </w:r>
      <w:r>
        <w:rPr>
          <w:rFonts w:hint="eastAsia" w:ascii="仿宋_GB2312" w:hAnsi="仿宋_GB2312" w:eastAsia="仿宋_GB2312" w:cs="仿宋_GB2312"/>
          <w:b w:val="0"/>
          <w:bCs w:val="0"/>
          <w:kern w:val="0"/>
          <w:sz w:val="32"/>
          <w:szCs w:val="32"/>
          <w:highlight w:val="none"/>
          <w:lang w:eastAsia="zh-CN" w:bidi="ar"/>
        </w:rPr>
        <w:t>”</w:t>
      </w:r>
      <w:r>
        <w:rPr>
          <w:rFonts w:hint="eastAsia" w:ascii="仿宋_GB2312" w:hAnsi="仿宋_GB2312" w:eastAsia="仿宋_GB2312" w:cs="仿宋_GB2312"/>
          <w:b w:val="0"/>
          <w:bCs w:val="0"/>
          <w:kern w:val="0"/>
          <w:sz w:val="32"/>
          <w:szCs w:val="32"/>
          <w:highlight w:val="none"/>
          <w:lang w:val="en-US" w:eastAsia="zh-CN" w:bidi="ar"/>
        </w:rPr>
        <w:t>活动，</w:t>
      </w:r>
      <w:r>
        <w:rPr>
          <w:rFonts w:hint="eastAsia" w:ascii="仿宋_GB2312" w:hAnsi="仿宋_GB2312" w:eastAsia="仿宋_GB2312" w:cs="仿宋_GB2312"/>
          <w:b w:val="0"/>
          <w:bCs w:val="0"/>
          <w:kern w:val="0"/>
          <w:sz w:val="32"/>
          <w:szCs w:val="32"/>
          <w:highlight w:val="none"/>
          <w:lang w:eastAsia="zh-CN" w:bidi="ar"/>
        </w:rPr>
        <w:t>针对企业类型定向开展案例分享、</w:t>
      </w:r>
      <w:r>
        <w:rPr>
          <w:rFonts w:hint="eastAsia" w:ascii="仿宋_GB2312" w:hAnsi="仿宋_GB2312" w:eastAsia="仿宋_GB2312" w:cs="仿宋_GB2312"/>
          <w:b w:val="0"/>
          <w:bCs w:val="0"/>
          <w:kern w:val="0"/>
          <w:sz w:val="32"/>
          <w:szCs w:val="32"/>
          <w:highlight w:val="none"/>
          <w:lang w:val="en-US" w:eastAsia="zh-CN" w:bidi="ar"/>
        </w:rPr>
        <w:t>法律法规</w:t>
      </w:r>
      <w:r>
        <w:rPr>
          <w:rFonts w:hint="eastAsia" w:ascii="仿宋_GB2312" w:hAnsi="仿宋_GB2312" w:eastAsia="仿宋_GB2312" w:cs="仿宋_GB2312"/>
          <w:b w:val="0"/>
          <w:bCs w:val="0"/>
          <w:kern w:val="0"/>
          <w:sz w:val="32"/>
          <w:szCs w:val="32"/>
          <w:highlight w:val="none"/>
          <w:lang w:eastAsia="zh-CN" w:bidi="ar"/>
        </w:rPr>
        <w:t>解读、法律答疑等主题的专项普法活动</w:t>
      </w:r>
      <w:r>
        <w:rPr>
          <w:rFonts w:hint="eastAsia" w:ascii="仿宋_GB2312" w:hAnsi="仿宋_GB2312" w:eastAsia="仿宋_GB2312" w:cs="仿宋_GB2312"/>
          <w:b w:val="0"/>
          <w:bCs w:val="0"/>
          <w:kern w:val="0"/>
          <w:sz w:val="32"/>
          <w:szCs w:val="32"/>
          <w:highlight w:val="none"/>
          <w:lang w:val="en-US" w:eastAsia="zh-CN" w:bidi="ar"/>
        </w:rPr>
        <w:t>，</w:t>
      </w:r>
      <w:r>
        <w:rPr>
          <w:rFonts w:hint="eastAsia" w:ascii="仿宋_GB2312" w:hAnsi="仿宋_GB2312" w:eastAsia="仿宋_GB2312" w:cs="仿宋_GB2312"/>
          <w:b w:val="0"/>
          <w:bCs w:val="0"/>
          <w:kern w:val="0"/>
          <w:sz w:val="32"/>
          <w:szCs w:val="32"/>
          <w:highlight w:val="none"/>
          <w:lang w:eastAsia="zh-CN" w:bidi="ar"/>
        </w:rPr>
        <w:t>促进</w:t>
      </w:r>
      <w:r>
        <w:rPr>
          <w:rFonts w:hint="eastAsia" w:ascii="仿宋_GB2312" w:hAnsi="仿宋_GB2312" w:eastAsia="仿宋_GB2312" w:cs="仿宋_GB2312"/>
          <w:b w:val="0"/>
          <w:bCs w:val="0"/>
          <w:kern w:val="0"/>
          <w:sz w:val="32"/>
          <w:szCs w:val="32"/>
          <w:highlight w:val="none"/>
          <w:lang w:val="en-US" w:eastAsia="zh-CN" w:bidi="ar"/>
        </w:rPr>
        <w:t>企业</w:t>
      </w:r>
      <w:r>
        <w:rPr>
          <w:rFonts w:hint="eastAsia" w:ascii="仿宋_GB2312" w:hAnsi="仿宋_GB2312" w:eastAsia="仿宋_GB2312" w:cs="仿宋_GB2312"/>
          <w:b w:val="0"/>
          <w:bCs w:val="0"/>
          <w:kern w:val="0"/>
          <w:sz w:val="32"/>
          <w:szCs w:val="32"/>
          <w:highlight w:val="none"/>
          <w:lang w:eastAsia="zh-CN" w:bidi="ar"/>
        </w:rPr>
        <w:t>员工树立尊法</w:t>
      </w:r>
      <w:r>
        <w:rPr>
          <w:rFonts w:hint="eastAsia" w:ascii="仿宋_GB2312" w:hAnsi="仿宋_GB2312" w:eastAsia="仿宋_GB2312" w:cs="仿宋_GB2312"/>
          <w:b w:val="0"/>
          <w:bCs w:val="0"/>
          <w:kern w:val="0"/>
          <w:sz w:val="32"/>
          <w:szCs w:val="32"/>
          <w:highlight w:val="none"/>
          <w:lang w:val="en-US" w:eastAsia="zh-CN" w:bidi="ar"/>
        </w:rPr>
        <w:t>学法</w:t>
      </w:r>
      <w:r>
        <w:rPr>
          <w:rFonts w:hint="eastAsia" w:ascii="仿宋_GB2312" w:hAnsi="仿宋_GB2312" w:eastAsia="仿宋_GB2312" w:cs="仿宋_GB2312"/>
          <w:b w:val="0"/>
          <w:bCs w:val="0"/>
          <w:kern w:val="0"/>
          <w:sz w:val="32"/>
          <w:szCs w:val="32"/>
          <w:highlight w:val="none"/>
          <w:lang w:eastAsia="zh-CN" w:bidi="ar"/>
        </w:rPr>
        <w:t>守法</w:t>
      </w:r>
      <w:r>
        <w:rPr>
          <w:rFonts w:hint="eastAsia" w:ascii="仿宋_GB2312" w:hAnsi="仿宋_GB2312" w:eastAsia="仿宋_GB2312" w:cs="仿宋_GB2312"/>
          <w:b w:val="0"/>
          <w:bCs w:val="0"/>
          <w:kern w:val="0"/>
          <w:sz w:val="32"/>
          <w:szCs w:val="32"/>
          <w:highlight w:val="none"/>
          <w:lang w:val="en-US" w:eastAsia="zh-CN" w:bidi="ar"/>
        </w:rPr>
        <w:t>用法</w:t>
      </w:r>
      <w:r>
        <w:rPr>
          <w:rFonts w:hint="eastAsia" w:ascii="仿宋_GB2312" w:hAnsi="仿宋_GB2312" w:eastAsia="仿宋_GB2312" w:cs="仿宋_GB2312"/>
          <w:b w:val="0"/>
          <w:bCs w:val="0"/>
          <w:kern w:val="0"/>
          <w:sz w:val="32"/>
          <w:szCs w:val="32"/>
          <w:highlight w:val="none"/>
          <w:lang w:eastAsia="zh-CN" w:bidi="ar"/>
        </w:rPr>
        <w:t>意识</w:t>
      </w:r>
      <w:r>
        <w:rPr>
          <w:rFonts w:hint="eastAsia" w:ascii="仿宋_GB2312" w:hAnsi="仿宋_GB2312" w:eastAsia="仿宋_GB2312" w:cs="仿宋_GB2312"/>
          <w:b w:val="0"/>
          <w:bCs w:val="0"/>
          <w:kern w:val="0"/>
          <w:sz w:val="32"/>
          <w:szCs w:val="32"/>
          <w:highlight w:val="none"/>
          <w:lang w:val="en-US" w:eastAsia="zh-CN" w:bidi="ar"/>
        </w:rPr>
        <w:t>，提高企业依法经营、依法管理能力，</w:t>
      </w:r>
      <w:r>
        <w:rPr>
          <w:rFonts w:hint="eastAsia" w:ascii="仿宋_GB2312" w:hAnsi="仿宋_GB2312" w:eastAsia="仿宋_GB2312" w:cs="仿宋_GB2312"/>
          <w:b w:val="0"/>
          <w:bCs w:val="0"/>
          <w:kern w:val="0"/>
          <w:sz w:val="32"/>
          <w:szCs w:val="32"/>
          <w:highlight w:val="none"/>
          <w:lang w:eastAsia="zh-CN" w:bidi="ar"/>
        </w:rPr>
        <w:t>合力优化</w:t>
      </w:r>
      <w:r>
        <w:rPr>
          <w:rFonts w:hint="eastAsia" w:ascii="仿宋_GB2312" w:hAnsi="仿宋_GB2312" w:eastAsia="仿宋_GB2312" w:cs="仿宋_GB2312"/>
          <w:b w:val="0"/>
          <w:bCs w:val="0"/>
          <w:kern w:val="0"/>
          <w:sz w:val="32"/>
          <w:szCs w:val="32"/>
          <w:highlight w:val="none"/>
          <w:lang w:val="en-US" w:eastAsia="zh-CN" w:bidi="ar"/>
        </w:rPr>
        <w:t>法治化营商环境</w:t>
      </w:r>
      <w:r>
        <w:rPr>
          <w:rFonts w:hint="eastAsia" w:ascii="仿宋_GB2312" w:hAnsi="仿宋_GB2312" w:eastAsia="仿宋_GB2312" w:cs="仿宋_GB2312"/>
          <w:b w:val="0"/>
          <w:bCs w:val="0"/>
          <w:kern w:val="0"/>
          <w:sz w:val="32"/>
          <w:szCs w:val="32"/>
          <w:highlight w:val="none"/>
          <w:lang w:eastAsia="zh-CN" w:bidi="ar"/>
        </w:rPr>
        <w:t>；结合省司法厅开展的广东省“法治文化建设示范企业”创建活动，指导企业申报广东省“法治文化建设示范企业”。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eastAsia" w:ascii="仿宋_GB2312" w:hAnsi="仿宋_GB2312" w:eastAsia="仿宋_GB2312" w:cs="仿宋_GB2312"/>
          <w:b w:val="0"/>
          <w:bCs w:val="0"/>
          <w:kern w:val="0"/>
          <w:sz w:val="32"/>
          <w:szCs w:val="32"/>
          <w:highlight w:val="none"/>
          <w:lang w:eastAsia="zh-CN" w:bidi="ar"/>
        </w:rPr>
      </w:pPr>
      <w:r>
        <w:rPr>
          <w:rFonts w:hint="eastAsia" w:ascii="楷体_GB2312" w:hAnsi="楷体_GB2312" w:eastAsia="楷体_GB2312" w:cs="楷体_GB2312"/>
          <w:b/>
          <w:bCs w:val="0"/>
          <w:color w:val="auto"/>
          <w:kern w:val="2"/>
          <w:sz w:val="32"/>
          <w:szCs w:val="24"/>
          <w:highlight w:val="none"/>
          <w:lang w:val="en-US" w:eastAsia="zh-CN" w:bidi="ar"/>
        </w:rPr>
        <w:t xml:space="preserve">第四条 </w:t>
      </w:r>
      <w:r>
        <w:rPr>
          <w:rFonts w:hint="eastAsia" w:ascii="仿宋" w:hAnsi="仿宋" w:eastAsia="仿宋" w:cs="仿宋"/>
          <w:b/>
          <w:bCs/>
          <w:color w:val="auto"/>
          <w:sz w:val="32"/>
          <w:szCs w:val="32"/>
          <w:highlight w:val="none"/>
          <w:lang w:eastAsia="zh-CN"/>
        </w:rPr>
        <w:t xml:space="preserve"> </w:t>
      </w:r>
      <w:r>
        <w:rPr>
          <w:rFonts w:hint="eastAsia" w:ascii="仿宋_GB2312" w:hAnsi="仿宋_GB2312" w:eastAsia="仿宋_GB2312" w:cs="仿宋_GB2312"/>
          <w:b w:val="0"/>
          <w:bCs w:val="0"/>
          <w:kern w:val="0"/>
          <w:sz w:val="32"/>
          <w:szCs w:val="32"/>
          <w:highlight w:val="none"/>
          <w:lang w:val="en-US" w:eastAsia="zh-CN" w:bidi="ar"/>
        </w:rPr>
        <w:t>推进企业矛盾纠纷多元化解</w:t>
      </w:r>
      <w:r>
        <w:rPr>
          <w:rFonts w:hint="eastAsia" w:ascii="仿宋_GB2312" w:hAnsi="仿宋_GB2312" w:eastAsia="仿宋_GB2312" w:cs="仿宋_GB2312"/>
          <w:b w:val="0"/>
          <w:bCs w:val="0"/>
          <w:kern w:val="0"/>
          <w:sz w:val="32"/>
          <w:szCs w:val="32"/>
          <w:highlight w:val="none"/>
          <w:lang w:eastAsia="zh-CN" w:bidi="ar"/>
        </w:rPr>
        <w:t>，定期开展涉企矛盾纠纷大排查、大化解活动。在矛盾纠纷源头预防上重点使力，帮助企业梳理矛盾纠纷易发多发、重点难点问题，提高企业矛盾纠纷前端预防能力，提前分析研判，落实防范措施，及时化解各类矛盾纠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eastAsia" w:ascii="仿宋" w:hAnsi="仿宋" w:eastAsia="仿宋" w:cs="仿宋"/>
          <w:b w:val="0"/>
          <w:bCs w:val="0"/>
          <w:kern w:val="0"/>
          <w:sz w:val="32"/>
          <w:szCs w:val="32"/>
          <w:highlight w:val="none"/>
          <w:lang w:val="en-US" w:eastAsia="zh-CN" w:bidi="ar"/>
        </w:rPr>
      </w:pPr>
      <w:r>
        <w:rPr>
          <w:rFonts w:hint="eastAsia" w:ascii="楷体_GB2312" w:hAnsi="楷体_GB2312" w:eastAsia="楷体_GB2312" w:cs="楷体_GB2312"/>
          <w:b/>
          <w:bCs w:val="0"/>
          <w:color w:val="auto"/>
          <w:kern w:val="2"/>
          <w:sz w:val="32"/>
          <w:szCs w:val="24"/>
          <w:highlight w:val="none"/>
          <w:lang w:val="en-US" w:eastAsia="zh-CN" w:bidi="ar"/>
        </w:rPr>
        <w:t xml:space="preserve">第五条 </w:t>
      </w:r>
      <w:r>
        <w:rPr>
          <w:rFonts w:hint="eastAsia" w:ascii="仿宋" w:hAnsi="仿宋" w:eastAsia="仿宋" w:cs="仿宋"/>
          <w:b w:val="0"/>
          <w:bCs w:val="0"/>
          <w:kern w:val="0"/>
          <w:sz w:val="32"/>
          <w:szCs w:val="32"/>
          <w:highlight w:val="none"/>
          <w:lang w:val="en-US" w:eastAsia="zh-CN" w:bidi="ar"/>
        </w:rPr>
        <w:t xml:space="preserve"> </w:t>
      </w:r>
      <w:r>
        <w:rPr>
          <w:rFonts w:hint="eastAsia" w:ascii="仿宋_GB2312" w:hAnsi="仿宋_GB2312" w:eastAsia="仿宋_GB2312" w:cs="仿宋_GB2312"/>
          <w:b w:val="0"/>
          <w:bCs w:val="0"/>
          <w:kern w:val="0"/>
          <w:sz w:val="32"/>
          <w:szCs w:val="32"/>
          <w:highlight w:val="none"/>
          <w:lang w:val="en-US" w:eastAsia="zh-CN" w:bidi="ar"/>
        </w:rPr>
        <w:t>发挥南山区创新创业法律服务中心的辐射和带动作用，助力中小微企业健康发展。在西丽、高新、前海、深圳湾设立创新创业法律服务中心，为片区企业每月开展不少于一次法治宣传、法律讲座活动。各片区企业可以通过“亲清政企通”平台提出法律服务需求，承接运营的法律服务机构对符合条件的“创新创业型”中小微企业免费提供法律咨询服务，为片区内符合条件的经营困难企业提供免费法律顾问服务，以优惠的标准提供代理案件、开展融资、知识产权全链条法律服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eastAsia" w:ascii="仿宋" w:hAnsi="仿宋" w:eastAsia="仿宋" w:cs="仿宋"/>
          <w:b w:val="0"/>
          <w:bCs w:val="0"/>
          <w:kern w:val="2"/>
          <w:sz w:val="32"/>
          <w:szCs w:val="32"/>
          <w:highlight w:val="none"/>
          <w:lang w:val="en-US" w:eastAsia="zh-CN" w:bidi="ar-SA"/>
        </w:rPr>
      </w:pPr>
      <w:r>
        <w:rPr>
          <w:rFonts w:hint="eastAsia" w:ascii="楷体_GB2312" w:hAnsi="楷体_GB2312" w:eastAsia="楷体_GB2312" w:cs="楷体_GB2312"/>
          <w:b/>
          <w:bCs w:val="0"/>
          <w:color w:val="auto"/>
          <w:kern w:val="2"/>
          <w:sz w:val="32"/>
          <w:szCs w:val="24"/>
          <w:highlight w:val="none"/>
          <w:lang w:val="en-US" w:eastAsia="zh-CN" w:bidi="ar"/>
        </w:rPr>
        <w:t xml:space="preserve">第六条 </w:t>
      </w:r>
      <w:r>
        <w:rPr>
          <w:rFonts w:hint="eastAsia" w:ascii="仿宋" w:hAnsi="仿宋" w:eastAsia="仿宋" w:cs="仿宋"/>
          <w:b w:val="0"/>
          <w:bCs w:val="0"/>
          <w:sz w:val="32"/>
          <w:szCs w:val="32"/>
          <w:highlight w:val="none"/>
          <w:lang w:val="en-US" w:eastAsia="zh-CN"/>
        </w:rPr>
        <w:t xml:space="preserve"> </w:t>
      </w:r>
      <w:r>
        <w:rPr>
          <w:rFonts w:hint="eastAsia" w:ascii="仿宋_GB2312" w:hAnsi="仿宋_GB2312" w:eastAsia="仿宋_GB2312" w:cs="仿宋_GB2312"/>
          <w:b w:val="0"/>
          <w:bCs w:val="0"/>
          <w:kern w:val="0"/>
          <w:sz w:val="32"/>
          <w:szCs w:val="32"/>
          <w:highlight w:val="none"/>
          <w:lang w:val="en-US" w:eastAsia="zh-CN" w:bidi="ar"/>
        </w:rPr>
        <w:t>推动“走出去”企业强化合规风险意识，承接运营的法律服务机构通过开展法治体检及组织法律讲座培训的方式，支持和引导“走出去”企业完善合规管理体系，为企业规避法律风险、开拓海外市场保驾护航。</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eastAsia" w:ascii="仿宋_GB2312" w:hAnsi="仿宋_GB2312" w:eastAsia="仿宋_GB2312" w:cs="仿宋_GB2312"/>
          <w:b w:val="0"/>
          <w:bCs w:val="0"/>
          <w:kern w:val="0"/>
          <w:sz w:val="32"/>
          <w:szCs w:val="32"/>
          <w:highlight w:val="none"/>
          <w:lang w:val="en-US" w:eastAsia="zh-CN" w:bidi="ar"/>
        </w:rPr>
      </w:pPr>
      <w:r>
        <w:rPr>
          <w:rFonts w:hint="eastAsia" w:ascii="楷体_GB2312" w:hAnsi="楷体_GB2312" w:eastAsia="楷体_GB2312" w:cs="楷体_GB2312"/>
          <w:b/>
          <w:bCs w:val="0"/>
          <w:color w:val="auto"/>
          <w:kern w:val="2"/>
          <w:sz w:val="32"/>
          <w:szCs w:val="24"/>
          <w:highlight w:val="none"/>
          <w:lang w:val="en-US" w:eastAsia="zh-CN" w:bidi="ar"/>
        </w:rPr>
        <w:t xml:space="preserve">第七条 </w:t>
      </w:r>
      <w:r>
        <w:rPr>
          <w:rFonts w:hint="eastAsia" w:ascii="仿宋" w:hAnsi="仿宋" w:eastAsia="仿宋" w:cs="仿宋"/>
          <w:b w:val="0"/>
          <w:bCs w:val="0"/>
          <w:kern w:val="2"/>
          <w:sz w:val="32"/>
          <w:szCs w:val="32"/>
          <w:highlight w:val="none"/>
          <w:lang w:val="en-US" w:eastAsia="zh-CN" w:bidi="ar-SA"/>
        </w:rPr>
        <w:t xml:space="preserve"> </w:t>
      </w:r>
      <w:r>
        <w:rPr>
          <w:rFonts w:hint="eastAsia" w:ascii="仿宋_GB2312" w:hAnsi="仿宋_GB2312" w:eastAsia="仿宋_GB2312" w:cs="仿宋_GB2312"/>
          <w:b w:val="0"/>
          <w:bCs w:val="0"/>
          <w:kern w:val="0"/>
          <w:sz w:val="32"/>
          <w:szCs w:val="32"/>
          <w:highlight w:val="none"/>
          <w:lang w:val="en-US" w:eastAsia="zh-CN" w:bidi="ar"/>
        </w:rPr>
        <w:t>为推动粤港澳大湾区法治建设持续健康发展，承接运营的法律服务机构定期举办“粤港澳大湾区法治建设座谈会”，邀请法律专家与辖区企业就活动主题进行交流讨论，提出建设性意见和建议。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eastAsia" w:ascii="仿宋" w:hAnsi="仿宋" w:eastAsia="仿宋" w:cs="仿宋"/>
          <w:b w:val="0"/>
          <w:bCs w:val="0"/>
          <w:kern w:val="2"/>
          <w:sz w:val="32"/>
          <w:szCs w:val="32"/>
          <w:highlight w:val="none"/>
          <w:lang w:val="en-US" w:eastAsia="zh-CN" w:bidi="ar-SA"/>
        </w:rPr>
      </w:pPr>
      <w:r>
        <w:rPr>
          <w:rFonts w:hint="eastAsia" w:ascii="楷体_GB2312" w:hAnsi="楷体_GB2312" w:eastAsia="楷体_GB2312" w:cs="楷体_GB2312"/>
          <w:b/>
          <w:bCs w:val="0"/>
          <w:color w:val="auto"/>
          <w:kern w:val="2"/>
          <w:sz w:val="32"/>
          <w:szCs w:val="24"/>
          <w:highlight w:val="none"/>
          <w:lang w:val="en-US" w:eastAsia="zh-CN" w:bidi="ar"/>
        </w:rPr>
        <w:t>第八条</w:t>
      </w:r>
      <w:r>
        <w:rPr>
          <w:rFonts w:hint="eastAsia" w:ascii="仿宋" w:hAnsi="仿宋" w:eastAsia="仿宋" w:cs="仿宋"/>
          <w:b w:val="0"/>
          <w:bCs w:val="0"/>
          <w:kern w:val="2"/>
          <w:sz w:val="32"/>
          <w:szCs w:val="32"/>
          <w:highlight w:val="none"/>
          <w:lang w:val="en-US" w:eastAsia="zh-CN" w:bidi="ar-SA"/>
        </w:rPr>
        <w:t xml:space="preserve">  </w:t>
      </w:r>
      <w:r>
        <w:rPr>
          <w:rFonts w:hint="eastAsia" w:ascii="仿宋_GB2312" w:hAnsi="仿宋_GB2312" w:eastAsia="仿宋_GB2312" w:cs="仿宋_GB2312"/>
          <w:b w:val="0"/>
          <w:bCs w:val="0"/>
          <w:kern w:val="0"/>
          <w:sz w:val="32"/>
          <w:szCs w:val="32"/>
          <w:highlight w:val="none"/>
          <w:lang w:val="en-US" w:eastAsia="zh-CN" w:bidi="ar"/>
        </w:rPr>
        <w:t>加强涉外法治人才培养，组建一支具备全球视野、通晓国际规则、精通涉外法律的涉外律师人才队伍，精准对接企业涉外法律服务需求，提供个性化法律服务讲座，为推进“一带一路”建设提供高质量法律服务。</w:t>
      </w:r>
    </w:p>
    <w:p>
      <w:pPr>
        <w:keepNext w:val="0"/>
        <w:keepLines w:val="0"/>
        <w:pageBreakBefore w:val="0"/>
        <w:widowControl w:val="0"/>
        <w:kinsoku/>
        <w:wordWrap/>
        <w:overflowPunct/>
        <w:topLinePunct w:val="0"/>
        <w:autoSpaceDE/>
        <w:bidi w:val="0"/>
        <w:spacing w:beforeAutospacing="0" w:afterAutospacing="0" w:line="560" w:lineRule="exact"/>
        <w:ind w:left="0" w:leftChars="0"/>
        <w:textAlignment w:val="auto"/>
        <w:rPr>
          <w:rFonts w:hint="eastAsia"/>
          <w:highlight w:val="none"/>
          <w:lang w:val="en-US" w:eastAsia="zh-CN"/>
        </w:rPr>
      </w:pPr>
    </w:p>
    <w:p>
      <w:pPr>
        <w:keepNext w:val="0"/>
        <w:keepLines w:val="0"/>
        <w:pageBreakBefore w:val="0"/>
        <w:widowControl w:val="0"/>
        <w:numPr>
          <w:ilvl w:val="0"/>
          <w:numId w:val="0"/>
        </w:numPr>
        <w:wordWrap/>
        <w:topLinePunct w:val="0"/>
        <w:bidi w:val="0"/>
        <w:spacing w:beforeAutospacing="0" w:afterAutospacing="0" w:line="560" w:lineRule="exact"/>
        <w:ind w:left="0" w:leftChars="0"/>
        <w:jc w:val="center"/>
        <w:rPr>
          <w:rFonts w:hint="eastAsia" w:ascii="黑体" w:hAnsi="黑体" w:eastAsia="黑体" w:cs="宋体"/>
          <w:color w:val="000000"/>
          <w:sz w:val="32"/>
          <w:szCs w:val="32"/>
          <w:lang w:val="en-US" w:eastAsia="zh-CN"/>
        </w:rPr>
      </w:pPr>
      <w:r>
        <w:rPr>
          <w:rFonts w:hint="eastAsia" w:ascii="黑体" w:hAnsi="黑体" w:eastAsia="黑体" w:cs="宋体"/>
          <w:color w:val="000000"/>
          <w:sz w:val="32"/>
          <w:szCs w:val="32"/>
          <w:lang w:val="en-US" w:eastAsia="zh-CN"/>
        </w:rPr>
        <w:t>第三章  知识产权服务</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3" w:firstLineChars="200"/>
        <w:jc w:val="both"/>
        <w:textAlignment w:val="auto"/>
        <w:rPr>
          <w:rFonts w:hint="eastAsia" w:ascii="仿宋_GB2312" w:hAnsi="仿宋_GB2312" w:eastAsia="仿宋_GB2312" w:cs="仿宋_GB2312"/>
          <w:b/>
          <w:bCs/>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3" w:firstLineChars="200"/>
        <w:jc w:val="both"/>
        <w:textAlignment w:val="auto"/>
        <w:rPr>
          <w:rFonts w:hint="eastAsia" w:ascii="仿宋_GB2312" w:hAnsi="仿宋_GB2312" w:eastAsia="仿宋_GB2312" w:cs="仿宋_GB2312"/>
          <w:sz w:val="32"/>
          <w:szCs w:val="32"/>
          <w:highlight w:val="none"/>
        </w:rPr>
      </w:pPr>
      <w:r>
        <w:rPr>
          <w:rFonts w:hint="eastAsia" w:ascii="楷体_GB2312" w:hAnsi="楷体_GB2312" w:eastAsia="楷体_GB2312" w:cs="楷体_GB2312"/>
          <w:b/>
          <w:bCs w:val="0"/>
          <w:color w:val="auto"/>
          <w:kern w:val="2"/>
          <w:sz w:val="32"/>
          <w:szCs w:val="24"/>
          <w:highlight w:val="none"/>
          <w:lang w:bidi="ar"/>
        </w:rPr>
        <w:t>第</w:t>
      </w:r>
      <w:r>
        <w:rPr>
          <w:rFonts w:hint="eastAsia" w:ascii="楷体_GB2312" w:hAnsi="楷体_GB2312" w:eastAsia="楷体_GB2312" w:cs="楷体_GB2312"/>
          <w:b/>
          <w:bCs w:val="0"/>
          <w:color w:val="auto"/>
          <w:kern w:val="2"/>
          <w:sz w:val="32"/>
          <w:szCs w:val="24"/>
          <w:highlight w:val="none"/>
          <w:lang w:eastAsia="zh-CN" w:bidi="ar"/>
        </w:rPr>
        <w:t>九</w:t>
      </w:r>
      <w:r>
        <w:rPr>
          <w:rFonts w:hint="eastAsia" w:ascii="楷体_GB2312" w:hAnsi="楷体_GB2312" w:eastAsia="楷体_GB2312" w:cs="楷体_GB2312"/>
          <w:b/>
          <w:bCs w:val="0"/>
          <w:color w:val="auto"/>
          <w:kern w:val="2"/>
          <w:sz w:val="32"/>
          <w:szCs w:val="24"/>
          <w:highlight w:val="none"/>
          <w:lang w:bidi="ar"/>
        </w:rPr>
        <w:t>条</w:t>
      </w:r>
      <w:r>
        <w:rPr>
          <w:rFonts w:hint="eastAsia" w:ascii="楷体_GB2312" w:hAnsi="楷体_GB2312" w:eastAsia="楷体_GB2312" w:cs="楷体_GB2312"/>
          <w:b/>
          <w:color w:val="auto"/>
          <w:kern w:val="2"/>
          <w:sz w:val="32"/>
          <w:szCs w:val="24"/>
          <w:highlight w:val="none"/>
          <w:lang w:bidi="ar"/>
        </w:rPr>
        <w:t xml:space="preserve"> </w:t>
      </w:r>
      <w:r>
        <w:rPr>
          <w:rFonts w:hint="eastAsia" w:ascii="仿宋_GB2312" w:hAnsi="仿宋_GB2312" w:eastAsia="仿宋_GB2312" w:cs="仿宋_GB2312"/>
          <w:sz w:val="32"/>
          <w:szCs w:val="32"/>
          <w:highlight w:val="none"/>
        </w:rPr>
        <w:t xml:space="preserve"> 为南山区中小微企业开通知识产权质押融资绿色通道，出台知识产权质押融资相关费用补贴扶持政策，联合银行、担保、保险、专利、版权、法律等专业机构，共同简化办理流程、降低融资成本、提高贷款额度，拓宽企业融资渠道。</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3" w:firstLineChars="200"/>
        <w:jc w:val="both"/>
        <w:textAlignment w:val="auto"/>
        <w:rPr>
          <w:rFonts w:hint="eastAsia" w:ascii="仿宋_GB2312" w:hAnsi="仿宋_GB2312" w:eastAsia="仿宋_GB2312" w:cs="仿宋_GB2312"/>
          <w:sz w:val="32"/>
          <w:szCs w:val="32"/>
          <w:highlight w:val="none"/>
        </w:rPr>
      </w:pPr>
      <w:r>
        <w:rPr>
          <w:rFonts w:hint="eastAsia" w:ascii="楷体_GB2312" w:hAnsi="楷体_GB2312" w:eastAsia="楷体_GB2312" w:cs="楷体_GB2312"/>
          <w:b/>
          <w:bCs w:val="0"/>
          <w:color w:val="auto"/>
          <w:kern w:val="2"/>
          <w:sz w:val="32"/>
          <w:szCs w:val="24"/>
          <w:highlight w:val="none"/>
          <w:lang w:bidi="ar"/>
        </w:rPr>
        <w:t>第</w:t>
      </w:r>
      <w:r>
        <w:rPr>
          <w:rFonts w:hint="eastAsia" w:ascii="楷体_GB2312" w:hAnsi="楷体_GB2312" w:eastAsia="楷体_GB2312" w:cs="楷体_GB2312"/>
          <w:b/>
          <w:bCs w:val="0"/>
          <w:color w:val="auto"/>
          <w:kern w:val="2"/>
          <w:sz w:val="32"/>
          <w:szCs w:val="24"/>
          <w:highlight w:val="none"/>
          <w:lang w:eastAsia="zh-CN" w:bidi="ar"/>
        </w:rPr>
        <w:t>十</w:t>
      </w:r>
      <w:r>
        <w:rPr>
          <w:rFonts w:hint="eastAsia" w:ascii="楷体_GB2312" w:hAnsi="楷体_GB2312" w:eastAsia="楷体_GB2312" w:cs="楷体_GB2312"/>
          <w:b/>
          <w:bCs w:val="0"/>
          <w:color w:val="auto"/>
          <w:kern w:val="2"/>
          <w:sz w:val="32"/>
          <w:szCs w:val="24"/>
          <w:highlight w:val="none"/>
          <w:lang w:bidi="ar"/>
        </w:rPr>
        <w:t>条</w:t>
      </w:r>
      <w:r>
        <w:rPr>
          <w:rFonts w:hint="eastAsia" w:ascii="楷体_GB2312" w:hAnsi="楷体_GB2312" w:eastAsia="楷体_GB2312" w:cs="楷体_GB2312"/>
          <w:b/>
          <w:color w:val="auto"/>
          <w:kern w:val="2"/>
          <w:sz w:val="32"/>
          <w:szCs w:val="24"/>
          <w:highlight w:val="none"/>
          <w:lang w:bidi="ar"/>
        </w:rPr>
        <w:t xml:space="preserve">  </w:t>
      </w:r>
      <w:r>
        <w:rPr>
          <w:rFonts w:hint="eastAsia" w:ascii="仿宋_GB2312" w:hAnsi="仿宋_GB2312" w:eastAsia="仿宋_GB2312" w:cs="仿宋_GB2312"/>
          <w:sz w:val="32"/>
          <w:szCs w:val="32"/>
          <w:highlight w:val="none"/>
        </w:rPr>
        <w:t>以《企业商业秘密管理规范》深圳市地方标准为指导，针对有</w:t>
      </w:r>
      <w:r>
        <w:rPr>
          <w:rFonts w:hint="eastAsia" w:ascii="仿宋_GB2312" w:hAnsi="仿宋_GB2312" w:eastAsia="仿宋_GB2312" w:cs="仿宋_GB2312"/>
          <w:sz w:val="32"/>
          <w:szCs w:val="32"/>
          <w:highlight w:val="none"/>
          <w:lang w:eastAsia="zh-CN"/>
        </w:rPr>
        <w:t>需求</w:t>
      </w:r>
      <w:r>
        <w:rPr>
          <w:rFonts w:hint="eastAsia" w:ascii="仿宋_GB2312" w:hAnsi="仿宋_GB2312" w:eastAsia="仿宋_GB2312" w:cs="仿宋_GB2312"/>
          <w:sz w:val="32"/>
          <w:szCs w:val="32"/>
          <w:highlight w:val="none"/>
        </w:rPr>
        <w:t>的企业，组织专家上门为企业评估商业秘密管理现状及问题，指导企业建立健全商业秘密保护制度体系，</w:t>
      </w:r>
      <w:r>
        <w:rPr>
          <w:rFonts w:hint="eastAsia" w:ascii="仿宋_GB2312" w:hAnsi="仿宋_GB2312" w:eastAsia="仿宋_GB2312" w:cs="仿宋_GB2312"/>
          <w:sz w:val="32"/>
          <w:szCs w:val="32"/>
          <w:highlight w:val="none"/>
          <w:lang w:eastAsia="zh-CN"/>
        </w:rPr>
        <w:t>帮助企业</w:t>
      </w:r>
      <w:r>
        <w:rPr>
          <w:rFonts w:hint="eastAsia" w:ascii="仿宋_GB2312" w:hAnsi="仿宋_GB2312" w:eastAsia="仿宋_GB2312" w:cs="仿宋_GB2312"/>
          <w:sz w:val="32"/>
          <w:szCs w:val="32"/>
          <w:highlight w:val="none"/>
        </w:rPr>
        <w:t>排查数据安全隐患，</w:t>
      </w:r>
      <w:r>
        <w:rPr>
          <w:rFonts w:hint="eastAsia" w:ascii="仿宋_GB2312" w:hAnsi="仿宋_GB2312" w:eastAsia="仿宋_GB2312" w:cs="仿宋_GB2312"/>
          <w:sz w:val="32"/>
          <w:szCs w:val="32"/>
          <w:highlight w:val="none"/>
          <w:lang w:eastAsia="zh-CN"/>
        </w:rPr>
        <w:t>为企业</w:t>
      </w:r>
      <w:r>
        <w:rPr>
          <w:rFonts w:hint="eastAsia" w:ascii="仿宋_GB2312" w:hAnsi="仿宋_GB2312" w:eastAsia="仿宋_GB2312" w:cs="仿宋_GB2312"/>
          <w:sz w:val="32"/>
          <w:szCs w:val="32"/>
          <w:highlight w:val="none"/>
        </w:rPr>
        <w:t>提供保密协议、竞业限制协议、商务合作保密协议的合同样本。</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3" w:firstLineChars="200"/>
        <w:jc w:val="both"/>
        <w:textAlignment w:val="auto"/>
        <w:rPr>
          <w:rFonts w:hint="eastAsia" w:ascii="仿宋_GB2312" w:hAnsi="仿宋_GB2312" w:eastAsia="仿宋_GB2312" w:cs="仿宋_GB2312"/>
          <w:sz w:val="32"/>
          <w:szCs w:val="32"/>
          <w:highlight w:val="none"/>
        </w:rPr>
      </w:pPr>
      <w:r>
        <w:rPr>
          <w:rFonts w:hint="eastAsia" w:ascii="楷体_GB2312" w:hAnsi="楷体_GB2312" w:eastAsia="楷体_GB2312" w:cs="楷体_GB2312"/>
          <w:b/>
          <w:bCs w:val="0"/>
          <w:color w:val="auto"/>
          <w:kern w:val="2"/>
          <w:sz w:val="32"/>
          <w:szCs w:val="24"/>
          <w:highlight w:val="none"/>
          <w:lang w:bidi="ar"/>
        </w:rPr>
        <w:t>第</w:t>
      </w:r>
      <w:r>
        <w:rPr>
          <w:rFonts w:hint="eastAsia" w:ascii="楷体_GB2312" w:hAnsi="楷体_GB2312" w:eastAsia="楷体_GB2312" w:cs="楷体_GB2312"/>
          <w:b/>
          <w:bCs w:val="0"/>
          <w:color w:val="auto"/>
          <w:kern w:val="2"/>
          <w:sz w:val="32"/>
          <w:szCs w:val="24"/>
          <w:highlight w:val="none"/>
          <w:lang w:eastAsia="zh-CN" w:bidi="ar"/>
        </w:rPr>
        <w:t>十一</w:t>
      </w:r>
      <w:r>
        <w:rPr>
          <w:rFonts w:hint="eastAsia" w:ascii="楷体_GB2312" w:hAnsi="楷体_GB2312" w:eastAsia="楷体_GB2312" w:cs="楷体_GB2312"/>
          <w:b/>
          <w:bCs w:val="0"/>
          <w:color w:val="auto"/>
          <w:kern w:val="2"/>
          <w:sz w:val="32"/>
          <w:szCs w:val="24"/>
          <w:highlight w:val="none"/>
          <w:lang w:bidi="ar"/>
        </w:rPr>
        <w:t>条</w:t>
      </w:r>
      <w:r>
        <w:rPr>
          <w:rFonts w:hint="eastAsia" w:ascii="楷体_GB2312" w:hAnsi="楷体_GB2312" w:eastAsia="楷体_GB2312" w:cs="楷体_GB2312"/>
          <w:b/>
          <w:color w:val="auto"/>
          <w:kern w:val="2"/>
          <w:sz w:val="32"/>
          <w:szCs w:val="24"/>
          <w:highlight w:val="none"/>
          <w:lang w:bidi="ar"/>
        </w:rPr>
        <w:t xml:space="preserve"> </w:t>
      </w:r>
      <w:r>
        <w:rPr>
          <w:rFonts w:hint="eastAsia" w:ascii="仿宋_GB2312" w:hAnsi="仿宋_GB2312" w:eastAsia="仿宋_GB2312" w:cs="仿宋_GB2312"/>
          <w:sz w:val="32"/>
          <w:szCs w:val="32"/>
          <w:highlight w:val="none"/>
        </w:rPr>
        <w:t xml:space="preserve"> 为面临海外知识产权纠纷的企业，链接海外专家及机构资源，</w:t>
      </w:r>
      <w:r>
        <w:rPr>
          <w:rFonts w:hint="eastAsia" w:ascii="仿宋_GB2312" w:hAnsi="仿宋_GB2312" w:eastAsia="仿宋_GB2312" w:cs="仿宋_GB2312"/>
          <w:sz w:val="32"/>
          <w:szCs w:val="32"/>
          <w:highlight w:val="none"/>
          <w:lang w:eastAsia="zh-CN"/>
        </w:rPr>
        <w:t>并</w:t>
      </w:r>
      <w:r>
        <w:rPr>
          <w:rFonts w:hint="eastAsia" w:ascii="仿宋_GB2312" w:hAnsi="仿宋_GB2312" w:eastAsia="仿宋_GB2312" w:cs="仿宋_GB2312"/>
          <w:sz w:val="32"/>
          <w:szCs w:val="32"/>
          <w:highlight w:val="none"/>
        </w:rPr>
        <w:t>针对企业不同需求</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指导</w:t>
      </w:r>
      <w:r>
        <w:rPr>
          <w:rFonts w:hint="eastAsia" w:ascii="仿宋_GB2312" w:hAnsi="仿宋_GB2312" w:eastAsia="仿宋_GB2312" w:cs="仿宋_GB2312"/>
          <w:sz w:val="32"/>
          <w:szCs w:val="32"/>
          <w:highlight w:val="none"/>
          <w:lang w:eastAsia="zh-CN"/>
        </w:rPr>
        <w:t>其</w:t>
      </w:r>
      <w:r>
        <w:rPr>
          <w:rFonts w:hint="eastAsia" w:ascii="仿宋_GB2312" w:hAnsi="仿宋_GB2312" w:eastAsia="仿宋_GB2312" w:cs="仿宋_GB2312"/>
          <w:sz w:val="32"/>
          <w:szCs w:val="32"/>
          <w:highlight w:val="none"/>
        </w:rPr>
        <w:t>开展知识产权侵权风险排查，提供谈判对策、应诉建议等专业服务。</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3" w:firstLineChars="200"/>
        <w:jc w:val="both"/>
        <w:textAlignment w:val="auto"/>
        <w:rPr>
          <w:rFonts w:hint="eastAsia" w:ascii="仿宋_GB2312" w:hAnsi="仿宋_GB2312" w:eastAsia="仿宋_GB2312" w:cs="仿宋_GB2312"/>
          <w:sz w:val="32"/>
          <w:szCs w:val="32"/>
          <w:highlight w:val="none"/>
        </w:rPr>
      </w:pPr>
      <w:r>
        <w:rPr>
          <w:rFonts w:hint="eastAsia" w:ascii="楷体_GB2312" w:hAnsi="楷体_GB2312" w:eastAsia="楷体_GB2312" w:cs="楷体_GB2312"/>
          <w:b/>
          <w:bCs w:val="0"/>
          <w:color w:val="auto"/>
          <w:kern w:val="2"/>
          <w:sz w:val="32"/>
          <w:szCs w:val="24"/>
          <w:highlight w:val="none"/>
          <w:lang w:bidi="ar"/>
        </w:rPr>
        <w:t>第</w:t>
      </w:r>
      <w:r>
        <w:rPr>
          <w:rFonts w:hint="eastAsia" w:ascii="楷体_GB2312" w:hAnsi="楷体_GB2312" w:eastAsia="楷体_GB2312" w:cs="楷体_GB2312"/>
          <w:b/>
          <w:bCs w:val="0"/>
          <w:color w:val="auto"/>
          <w:kern w:val="2"/>
          <w:sz w:val="32"/>
          <w:szCs w:val="24"/>
          <w:highlight w:val="none"/>
          <w:lang w:eastAsia="zh-CN" w:bidi="ar"/>
        </w:rPr>
        <w:t>十二</w:t>
      </w:r>
      <w:r>
        <w:rPr>
          <w:rFonts w:hint="eastAsia" w:ascii="楷体_GB2312" w:hAnsi="楷体_GB2312" w:eastAsia="楷体_GB2312" w:cs="楷体_GB2312"/>
          <w:b/>
          <w:bCs w:val="0"/>
          <w:color w:val="auto"/>
          <w:kern w:val="2"/>
          <w:sz w:val="32"/>
          <w:szCs w:val="24"/>
          <w:highlight w:val="none"/>
          <w:lang w:bidi="ar"/>
        </w:rPr>
        <w:t>条</w:t>
      </w:r>
      <w:r>
        <w:rPr>
          <w:rFonts w:hint="eastAsia" w:ascii="楷体_GB2312" w:hAnsi="楷体_GB2312" w:eastAsia="楷体_GB2312" w:cs="楷体_GB2312"/>
          <w:b/>
          <w:color w:val="auto"/>
          <w:kern w:val="2"/>
          <w:sz w:val="32"/>
          <w:szCs w:val="24"/>
          <w:highlight w:val="none"/>
          <w:lang w:bidi="ar"/>
        </w:rPr>
        <w:t xml:space="preserve"> </w:t>
      </w:r>
      <w:r>
        <w:rPr>
          <w:rFonts w:hint="eastAsia" w:ascii="仿宋_GB2312" w:hAnsi="仿宋_GB2312" w:eastAsia="仿宋_GB2312" w:cs="仿宋_GB2312"/>
          <w:sz w:val="32"/>
          <w:szCs w:val="32"/>
          <w:highlight w:val="none"/>
        </w:rPr>
        <w:t xml:space="preserve"> 在南山知识产权保护中心设立咨询投诉窗口，受理知识产权侵权投诉材料。针对具体知识产权纠纷，提供</w:t>
      </w:r>
      <w:r>
        <w:rPr>
          <w:rFonts w:hint="eastAsia" w:ascii="仿宋_GB2312" w:hAnsi="仿宋_GB2312" w:eastAsia="仿宋_GB2312" w:cs="仿宋_GB2312"/>
          <w:sz w:val="32"/>
          <w:szCs w:val="32"/>
          <w:highlight w:val="none"/>
          <w:lang w:eastAsia="zh-CN"/>
        </w:rPr>
        <w:t>登记确权、司法公证、鉴定评估、纠纷调解、</w:t>
      </w:r>
      <w:r>
        <w:rPr>
          <w:rFonts w:hint="eastAsia" w:ascii="仿宋_GB2312" w:hAnsi="仿宋_GB2312" w:eastAsia="仿宋_GB2312" w:cs="仿宋_GB2312"/>
          <w:sz w:val="32"/>
          <w:szCs w:val="32"/>
          <w:highlight w:val="none"/>
        </w:rPr>
        <w:t>法律咨询、维权建议、案件会商，帮助企业维权。</w:t>
      </w:r>
    </w:p>
    <w:p>
      <w:pPr>
        <w:pStyle w:val="2"/>
        <w:keepNext w:val="0"/>
        <w:keepLines w:val="0"/>
        <w:pageBreakBefore w:val="0"/>
        <w:widowControl w:val="0"/>
        <w:kinsoku w:val="0"/>
        <w:wordWrap/>
        <w:overflowPunct w:val="0"/>
        <w:topLinePunct w:val="0"/>
        <w:autoSpaceDE w:val="0"/>
        <w:autoSpaceDN w:val="0"/>
        <w:bidi w:val="0"/>
        <w:adjustRightInd w:val="0"/>
        <w:snapToGrid w:val="0"/>
        <w:spacing w:before="0" w:beforeLines="0" w:beforeAutospacing="0" w:after="0" w:afterLines="0" w:afterAutospacing="0" w:line="560" w:lineRule="exact"/>
        <w:ind w:left="0" w:leftChars="0" w:firstLine="643" w:firstLineChars="200"/>
        <w:jc w:val="both"/>
        <w:textAlignment w:val="auto"/>
        <w:rPr>
          <w:rFonts w:hint="eastAsia" w:ascii="仿宋_GB2312" w:hAnsi="仿宋" w:eastAsia="仿宋_GB2312"/>
          <w:b w:val="0"/>
          <w:bCs/>
          <w:sz w:val="32"/>
          <w:szCs w:val="32"/>
          <w:highlight w:val="none"/>
          <w:lang w:val="en-US" w:eastAsia="zh-CN"/>
        </w:rPr>
      </w:pPr>
      <w:r>
        <w:rPr>
          <w:rFonts w:hint="eastAsia" w:ascii="楷体_GB2312" w:hAnsi="楷体_GB2312" w:eastAsia="楷体_GB2312" w:cs="楷体_GB2312"/>
          <w:b/>
          <w:bCs w:val="0"/>
          <w:color w:val="auto"/>
          <w:kern w:val="2"/>
          <w:sz w:val="32"/>
          <w:szCs w:val="24"/>
          <w:highlight w:val="none"/>
          <w:lang w:bidi="ar"/>
        </w:rPr>
        <w:t>第</w:t>
      </w:r>
      <w:r>
        <w:rPr>
          <w:rFonts w:hint="eastAsia" w:ascii="楷体_GB2312" w:hAnsi="楷体_GB2312" w:eastAsia="楷体_GB2312" w:cs="楷体_GB2312"/>
          <w:b/>
          <w:bCs w:val="0"/>
          <w:color w:val="auto"/>
          <w:kern w:val="2"/>
          <w:sz w:val="32"/>
          <w:szCs w:val="24"/>
          <w:highlight w:val="none"/>
          <w:lang w:eastAsia="zh-CN" w:bidi="ar"/>
        </w:rPr>
        <w:t>十三</w:t>
      </w:r>
      <w:r>
        <w:rPr>
          <w:rFonts w:hint="eastAsia" w:ascii="楷体_GB2312" w:hAnsi="楷体_GB2312" w:eastAsia="楷体_GB2312" w:cs="楷体_GB2312"/>
          <w:b/>
          <w:bCs w:val="0"/>
          <w:color w:val="auto"/>
          <w:kern w:val="2"/>
          <w:sz w:val="32"/>
          <w:szCs w:val="24"/>
          <w:highlight w:val="none"/>
          <w:lang w:bidi="ar"/>
        </w:rPr>
        <w:t>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b w:val="0"/>
          <w:bCs/>
          <w:sz w:val="32"/>
          <w:szCs w:val="32"/>
          <w:highlight w:val="none"/>
        </w:rPr>
        <w:t>举办南山区高层次人才知识产权研修示范班</w:t>
      </w:r>
      <w:r>
        <w:rPr>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b w:val="0"/>
          <w:bCs/>
          <w:sz w:val="32"/>
          <w:szCs w:val="32"/>
          <w:highlight w:val="none"/>
        </w:rPr>
        <w:t>邀请知识产权界泰斗、头部企业知识产权专家、司法行政仲裁一线办案专家，为企业总裁或知识产权副总裁提供知识产权全领域培训。</w:t>
      </w:r>
    </w:p>
    <w:p>
      <w:pPr>
        <w:pStyle w:val="2"/>
        <w:keepNext w:val="0"/>
        <w:keepLines w:val="0"/>
        <w:pageBreakBefore w:val="0"/>
        <w:widowControl w:val="0"/>
        <w:kinsoku w:val="0"/>
        <w:wordWrap/>
        <w:overflowPunct w:val="0"/>
        <w:topLinePunct w:val="0"/>
        <w:autoSpaceDE w:val="0"/>
        <w:autoSpaceDN w:val="0"/>
        <w:bidi w:val="0"/>
        <w:adjustRightInd w:val="0"/>
        <w:snapToGrid w:val="0"/>
        <w:spacing w:before="0" w:beforeLines="0" w:beforeAutospacing="0" w:after="0" w:afterLines="0" w:afterAutospacing="0" w:line="560" w:lineRule="exact"/>
        <w:ind w:left="0" w:leftChars="0"/>
        <w:jc w:val="center"/>
        <w:textAlignment w:val="auto"/>
        <w:rPr>
          <w:rFonts w:hint="eastAsia" w:ascii="仿宋_GB2312" w:hAnsi="仿宋" w:eastAsia="仿宋_GB2312"/>
          <w:b/>
          <w:bCs/>
          <w:sz w:val="32"/>
          <w:szCs w:val="32"/>
          <w:highlight w:val="none"/>
          <w:lang w:val="en-US" w:eastAsia="zh-CN"/>
        </w:rPr>
      </w:pPr>
    </w:p>
    <w:p>
      <w:pPr>
        <w:keepNext w:val="0"/>
        <w:keepLines w:val="0"/>
        <w:pageBreakBefore w:val="0"/>
        <w:widowControl w:val="0"/>
        <w:numPr>
          <w:ilvl w:val="0"/>
          <w:numId w:val="0"/>
        </w:numPr>
        <w:wordWrap/>
        <w:topLinePunct w:val="0"/>
        <w:bidi w:val="0"/>
        <w:adjustRightInd w:val="0"/>
        <w:snapToGrid w:val="0"/>
        <w:spacing w:beforeAutospacing="0" w:afterAutospacing="0" w:line="560" w:lineRule="exact"/>
        <w:ind w:left="0" w:leftChars="0"/>
        <w:jc w:val="center"/>
        <w:textAlignment w:val="auto"/>
        <w:rPr>
          <w:rFonts w:hint="eastAsia" w:ascii="黑体" w:hAnsi="黑体" w:eastAsia="黑体" w:cs="宋体"/>
          <w:b w:val="0"/>
          <w:bCs w:val="0"/>
          <w:color w:val="000000"/>
          <w:sz w:val="32"/>
          <w:szCs w:val="32"/>
          <w:lang w:val="en-US" w:eastAsia="zh-CN"/>
        </w:rPr>
      </w:pPr>
      <w:r>
        <w:rPr>
          <w:rFonts w:hint="eastAsia" w:ascii="黑体" w:hAnsi="黑体" w:eastAsia="黑体" w:cs="宋体"/>
          <w:b w:val="0"/>
          <w:bCs w:val="0"/>
          <w:color w:val="000000"/>
          <w:sz w:val="32"/>
          <w:szCs w:val="32"/>
          <w:lang w:val="en-US" w:eastAsia="zh-CN"/>
        </w:rPr>
        <w:t>第四章  政务服务</w:t>
      </w:r>
    </w:p>
    <w:p>
      <w:pPr>
        <w:pStyle w:val="2"/>
        <w:keepNext w:val="0"/>
        <w:keepLines w:val="0"/>
        <w:pageBreakBefore w:val="0"/>
        <w:widowControl w:val="0"/>
        <w:numPr>
          <w:ilvl w:val="-1"/>
          <w:numId w:val="0"/>
        </w:numPr>
        <w:kinsoku w:val="0"/>
        <w:wordWrap/>
        <w:overflowPunct w:val="0"/>
        <w:topLinePunct w:val="0"/>
        <w:autoSpaceDE w:val="0"/>
        <w:autoSpaceDN w:val="0"/>
        <w:bidi w:val="0"/>
        <w:adjustRightInd w:val="0"/>
        <w:snapToGrid w:val="0"/>
        <w:spacing w:before="0" w:beforeLines="0" w:beforeAutospacing="0" w:after="0" w:afterLines="0" w:afterAutospacing="0" w:line="560" w:lineRule="exact"/>
        <w:ind w:left="0" w:leftChars="0"/>
        <w:jc w:val="center"/>
        <w:textAlignment w:val="auto"/>
        <w:rPr>
          <w:rFonts w:hint="eastAsia" w:ascii="仿宋_GB2312" w:hAnsi="仿宋" w:eastAsia="仿宋_GB2312"/>
          <w:b/>
          <w:bCs/>
          <w:sz w:val="32"/>
          <w:szCs w:val="32"/>
          <w:highlight w:val="none"/>
          <w:lang w:val="en-US" w:eastAsia="zh-CN"/>
        </w:rPr>
      </w:pPr>
    </w:p>
    <w:p>
      <w:pPr>
        <w:keepNext w:val="0"/>
        <w:keepLines w:val="0"/>
        <w:pageBreakBefore w:val="0"/>
        <w:widowControl w:val="0"/>
        <w:kinsoku w:val="0"/>
        <w:wordWrap/>
        <w:overflowPunct w:val="0"/>
        <w:topLinePunct w:val="0"/>
        <w:autoSpaceDE w:val="0"/>
        <w:autoSpaceDN w:val="0"/>
        <w:bidi w:val="0"/>
        <w:adjustRightInd/>
        <w:snapToGrid/>
        <w:spacing w:beforeAutospacing="0" w:afterAutospacing="0" w:line="560" w:lineRule="exact"/>
        <w:ind w:left="0" w:leftChars="0" w:firstLine="643" w:firstLineChars="200"/>
        <w:textAlignment w:val="auto"/>
        <w:rPr>
          <w:rFonts w:hint="eastAsia" w:ascii="仿宋_GB2312" w:hAnsi="仿宋_GB2312" w:eastAsia="仿宋_GB2312" w:cs="仿宋_GB2312"/>
          <w:b w:val="0"/>
          <w:bCs/>
          <w:color w:val="auto"/>
          <w:kern w:val="2"/>
          <w:sz w:val="32"/>
          <w:szCs w:val="24"/>
          <w:highlight w:val="none"/>
          <w:lang w:val="en-US" w:eastAsia="zh-CN" w:bidi="ar"/>
        </w:rPr>
      </w:pPr>
      <w:r>
        <w:rPr>
          <w:rFonts w:hint="eastAsia" w:ascii="楷体_GB2312" w:hAnsi="楷体_GB2312" w:eastAsia="楷体_GB2312" w:cs="楷体_GB2312"/>
          <w:b/>
          <w:bCs w:val="0"/>
          <w:color w:val="auto"/>
          <w:kern w:val="2"/>
          <w:sz w:val="32"/>
          <w:szCs w:val="24"/>
          <w:highlight w:val="none"/>
          <w:lang w:val="en-US" w:eastAsia="zh-CN" w:bidi="ar"/>
        </w:rPr>
        <w:t>第十四条</w:t>
      </w:r>
      <w:r>
        <w:rPr>
          <w:rFonts w:hint="eastAsia" w:ascii="仿宋_GB2312" w:hAnsi="仿宋_GB2312" w:eastAsia="仿宋_GB2312" w:cs="仿宋_GB2312"/>
          <w:b w:val="0"/>
          <w:bCs/>
          <w:color w:val="auto"/>
          <w:kern w:val="2"/>
          <w:sz w:val="32"/>
          <w:szCs w:val="24"/>
          <w:highlight w:val="none"/>
          <w:lang w:val="en-US" w:eastAsia="zh-CN" w:bidi="ar"/>
        </w:rPr>
        <w:t>   根据国家、省、市关于政务服务标准化、规范化、便利化相关要求，依托南山区各级政务大厅、专业分厅，开设“绿色通道”“帮办代办”“跨域通办”等线下专窗，为企业提供高效便捷的线下政务服务。</w:t>
      </w:r>
    </w:p>
    <w:p>
      <w:pPr>
        <w:keepNext w:val="0"/>
        <w:keepLines w:val="0"/>
        <w:pageBreakBefore w:val="0"/>
        <w:widowControl w:val="0"/>
        <w:kinsoku w:val="0"/>
        <w:wordWrap/>
        <w:overflowPunct w:val="0"/>
        <w:topLinePunct w:val="0"/>
        <w:autoSpaceDE w:val="0"/>
        <w:autoSpaceDN w:val="0"/>
        <w:bidi w:val="0"/>
        <w:adjustRightInd/>
        <w:snapToGrid/>
        <w:spacing w:beforeAutospacing="0" w:afterAutospacing="0" w:line="560" w:lineRule="exact"/>
        <w:ind w:left="0" w:leftChars="0" w:firstLine="643" w:firstLineChars="200"/>
        <w:textAlignment w:val="auto"/>
        <w:rPr>
          <w:rFonts w:hint="eastAsia" w:ascii="仿宋_GB2312" w:hAnsi="仿宋_GB2312" w:eastAsia="仿宋_GB2312" w:cs="仿宋_GB2312"/>
          <w:b w:val="0"/>
          <w:bCs/>
          <w:color w:val="auto"/>
          <w:kern w:val="2"/>
          <w:sz w:val="32"/>
          <w:szCs w:val="24"/>
          <w:highlight w:val="none"/>
          <w:lang w:val="en-US" w:eastAsia="zh-CN" w:bidi="ar"/>
        </w:rPr>
      </w:pPr>
      <w:r>
        <w:rPr>
          <w:rFonts w:hint="eastAsia" w:ascii="楷体_GB2312" w:hAnsi="楷体_GB2312" w:eastAsia="楷体_GB2312" w:cs="楷体_GB2312"/>
          <w:b/>
          <w:bCs w:val="0"/>
          <w:color w:val="auto"/>
          <w:kern w:val="2"/>
          <w:sz w:val="32"/>
          <w:szCs w:val="24"/>
          <w:highlight w:val="none"/>
          <w:lang w:val="en-US" w:eastAsia="zh-CN" w:bidi="ar"/>
        </w:rPr>
        <w:t>第十五条</w:t>
      </w:r>
      <w:r>
        <w:rPr>
          <w:rFonts w:hint="eastAsia" w:ascii="仿宋_GB2312" w:hAnsi="仿宋_GB2312" w:eastAsia="仿宋_GB2312" w:cs="仿宋_GB2312"/>
          <w:b w:val="0"/>
          <w:bCs/>
          <w:color w:val="auto"/>
          <w:kern w:val="2"/>
          <w:sz w:val="32"/>
          <w:szCs w:val="24"/>
          <w:highlight w:val="none"/>
          <w:lang w:val="en-US" w:eastAsia="zh-CN" w:bidi="ar"/>
        </w:rPr>
        <w:t>  充分发挥数据资源汇聚共享优势，实现数据赋能政务服务，依托各级一体化政务服务平台，开设“政企面对面”“视频办”“指尖办”等线上专区，为企业提供主动、精准、整体式、智能化的线上政务服务。</w:t>
      </w:r>
    </w:p>
    <w:p>
      <w:pPr>
        <w:keepNext w:val="0"/>
        <w:keepLines w:val="0"/>
        <w:pageBreakBefore w:val="0"/>
        <w:widowControl w:val="0"/>
        <w:kinsoku w:val="0"/>
        <w:wordWrap/>
        <w:overflowPunct w:val="0"/>
        <w:topLinePunct w:val="0"/>
        <w:autoSpaceDE w:val="0"/>
        <w:autoSpaceDN w:val="0"/>
        <w:bidi w:val="0"/>
        <w:adjustRightInd/>
        <w:snapToGrid/>
        <w:spacing w:beforeAutospacing="0" w:afterAutospacing="0" w:line="560" w:lineRule="exact"/>
        <w:ind w:left="0" w:leftChars="0" w:firstLine="643" w:firstLineChars="200"/>
        <w:textAlignment w:val="auto"/>
        <w:rPr>
          <w:rFonts w:hint="eastAsia" w:ascii="仿宋_GB2312" w:hAnsi="仿宋_GB2312" w:eastAsia="仿宋_GB2312" w:cs="仿宋_GB2312"/>
          <w:b w:val="0"/>
          <w:bCs/>
          <w:sz w:val="32"/>
          <w:szCs w:val="32"/>
          <w:highlight w:val="none"/>
          <w:lang w:val="en-US" w:eastAsia="zh-CN"/>
        </w:rPr>
      </w:pPr>
      <w:r>
        <w:rPr>
          <w:rFonts w:hint="eastAsia" w:ascii="楷体_GB2312" w:hAnsi="楷体_GB2312" w:eastAsia="楷体_GB2312" w:cs="楷体_GB2312"/>
          <w:b/>
          <w:bCs w:val="0"/>
          <w:color w:val="auto"/>
          <w:kern w:val="2"/>
          <w:sz w:val="32"/>
          <w:szCs w:val="24"/>
          <w:highlight w:val="none"/>
          <w:lang w:val="en-US" w:eastAsia="zh-CN" w:bidi="ar"/>
        </w:rPr>
        <w:t>第十六条</w:t>
      </w:r>
      <w:r>
        <w:rPr>
          <w:rFonts w:hint="eastAsia" w:ascii="仿宋_GB2312" w:hAnsi="仿宋_GB2312" w:eastAsia="仿宋_GB2312" w:cs="仿宋_GB2312"/>
          <w:b w:val="0"/>
          <w:bCs/>
          <w:color w:val="auto"/>
          <w:kern w:val="2"/>
          <w:sz w:val="32"/>
          <w:szCs w:val="24"/>
          <w:highlight w:val="none"/>
          <w:lang w:val="en-US" w:eastAsia="zh-CN" w:bidi="ar"/>
        </w:rPr>
        <w:t>   充分利用大数据分析，为企业提供惠企政策精准推送、即申即享、免申即享服务。整合政务服务、企业服务业务系统，为新开办企业提供“云上创业包”，通过云服务、数据服务等赋能小微企业，为企业提供数据支撑和服务。</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textAlignment w:val="auto"/>
        <w:rPr>
          <w:rFonts w:hint="eastAsia"/>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jc w:val="center"/>
        <w:textAlignment w:val="auto"/>
        <w:rPr>
          <w:rFonts w:hint="eastAsia" w:ascii="黑体" w:hAnsi="黑体" w:eastAsia="黑体" w:cs="宋体"/>
          <w:b w:val="0"/>
          <w:bCs w:val="0"/>
          <w:color w:val="000000"/>
          <w:kern w:val="0"/>
          <w:sz w:val="32"/>
          <w:szCs w:val="32"/>
          <w:lang w:val="en-US" w:eastAsia="zh-CN" w:bidi="ar-SA"/>
        </w:rPr>
      </w:pPr>
      <w:r>
        <w:rPr>
          <w:rFonts w:hint="eastAsia" w:ascii="黑体" w:hAnsi="黑体" w:eastAsia="黑体" w:cs="宋体"/>
          <w:b w:val="0"/>
          <w:bCs w:val="0"/>
          <w:color w:val="000000"/>
          <w:kern w:val="0"/>
          <w:sz w:val="32"/>
          <w:szCs w:val="32"/>
          <w:lang w:val="en-US" w:eastAsia="zh-CN" w:bidi="ar-SA"/>
        </w:rPr>
        <w:t>第五章  企业诉求协调办理服务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eastAsia" w:ascii="楷体_GB2312" w:hAnsi="楷体_GB2312" w:eastAsia="楷体_GB2312" w:cs="楷体_GB2312"/>
          <w:b/>
          <w:bCs w:val="0"/>
          <w:color w:val="auto"/>
          <w:kern w:val="2"/>
          <w:sz w:val="32"/>
          <w:szCs w:val="24"/>
          <w:highlight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eastAsia" w:ascii="仿宋_GB2312" w:hAnsi="仿宋" w:eastAsia="仿宋_GB2312" w:cstheme="minorBidi"/>
          <w:b w:val="0"/>
          <w:bCs w:val="0"/>
          <w:kern w:val="0"/>
          <w:sz w:val="32"/>
          <w:szCs w:val="32"/>
          <w:highlight w:val="none"/>
          <w:lang w:val="en-US" w:eastAsia="zh-CN" w:bidi="ar-SA"/>
        </w:rPr>
      </w:pPr>
      <w:r>
        <w:rPr>
          <w:rFonts w:hint="eastAsia" w:ascii="楷体_GB2312" w:hAnsi="楷体_GB2312" w:eastAsia="楷体_GB2312" w:cs="楷体_GB2312"/>
          <w:b/>
          <w:bCs w:val="0"/>
          <w:color w:val="auto"/>
          <w:kern w:val="2"/>
          <w:sz w:val="32"/>
          <w:szCs w:val="24"/>
          <w:highlight w:val="none"/>
          <w:lang w:val="en-US" w:eastAsia="zh-CN" w:bidi="ar"/>
        </w:rPr>
        <w:t xml:space="preserve">第十七条  </w:t>
      </w:r>
      <w:r>
        <w:rPr>
          <w:rFonts w:hint="eastAsia" w:ascii="仿宋_GB2312" w:hAnsi="仿宋" w:eastAsia="仿宋_GB2312" w:cstheme="minorBidi"/>
          <w:b w:val="0"/>
          <w:bCs w:val="0"/>
          <w:kern w:val="0"/>
          <w:sz w:val="32"/>
          <w:szCs w:val="32"/>
          <w:highlight w:val="none"/>
          <w:lang w:val="en-US" w:eastAsia="zh-CN" w:bidi="ar-SA"/>
        </w:rPr>
        <w:t>在“深i企”“i南山亲清政企通”等线上企业服务平台开设“诉求办理”功能板块，以企业需求为导向，为企业提供集约式服务企业的“入口”和“出口”，整合政府、市场、公共服务机构等多类服务资源，精准解决企业个性化诉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eastAsia" w:ascii="仿宋_GB2312" w:hAnsi="仿宋" w:eastAsia="仿宋_GB2312" w:cstheme="minorBidi"/>
          <w:b w:val="0"/>
          <w:bCs w:val="0"/>
          <w:kern w:val="0"/>
          <w:sz w:val="32"/>
          <w:szCs w:val="32"/>
          <w:highlight w:val="none"/>
          <w:lang w:val="en-US" w:eastAsia="zh-CN" w:bidi="ar-SA"/>
        </w:rPr>
      </w:pPr>
      <w:r>
        <w:rPr>
          <w:rFonts w:hint="eastAsia" w:ascii="楷体_GB2312" w:hAnsi="楷体_GB2312" w:eastAsia="楷体_GB2312" w:cs="楷体_GB2312"/>
          <w:b/>
          <w:bCs w:val="0"/>
          <w:color w:val="auto"/>
          <w:kern w:val="2"/>
          <w:sz w:val="32"/>
          <w:szCs w:val="24"/>
          <w:highlight w:val="none"/>
          <w:lang w:val="en-US" w:eastAsia="zh-CN" w:bidi="ar"/>
        </w:rPr>
        <w:t xml:space="preserve">第十八条  </w:t>
      </w:r>
      <w:r>
        <w:rPr>
          <w:rFonts w:hint="eastAsia" w:ascii="仿宋_GB2312" w:hAnsi="仿宋" w:eastAsia="仿宋_GB2312" w:cstheme="minorBidi"/>
          <w:b w:val="0"/>
          <w:bCs w:val="0"/>
          <w:kern w:val="0"/>
          <w:sz w:val="32"/>
          <w:szCs w:val="32"/>
          <w:highlight w:val="none"/>
          <w:lang w:val="en-US" w:eastAsia="zh-CN" w:bidi="ar-SA"/>
        </w:rPr>
        <w:t>依托企业服务常态化工作机制，围绕企业发展全生命周期各环节需求，整合区、街道各单位服务资源，为企业提供政务、资金、空间、人才、法律、金融等“绿色通道”服务。</w:t>
      </w:r>
    </w:p>
    <w:p>
      <w:pPr>
        <w:pStyle w:val="2"/>
        <w:keepNext w:val="0"/>
        <w:keepLines w:val="0"/>
        <w:pageBreakBefore w:val="0"/>
        <w:widowControl w:val="0"/>
        <w:kinsoku/>
        <w:wordWrap/>
        <w:overflowPunct/>
        <w:topLinePunct w:val="0"/>
        <w:autoSpaceDE/>
        <w:bidi w:val="0"/>
        <w:adjustRightInd/>
        <w:snapToGrid/>
        <w:spacing w:before="0" w:beforeLines="0" w:beforeAutospacing="0" w:after="0" w:afterLines="0" w:afterAutospacing="0" w:line="560" w:lineRule="exact"/>
        <w:ind w:left="0" w:leftChars="0"/>
        <w:textAlignment w:val="auto"/>
        <w:rPr>
          <w:rFonts w:hint="eastAsia"/>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jc w:val="center"/>
        <w:textAlignment w:val="auto"/>
        <w:rPr>
          <w:rFonts w:hint="eastAsia" w:ascii="黑体" w:hAnsi="黑体" w:eastAsia="黑体" w:cs="宋体"/>
          <w:b w:val="0"/>
          <w:bCs w:val="0"/>
          <w:color w:val="000000"/>
          <w:kern w:val="0"/>
          <w:sz w:val="32"/>
          <w:szCs w:val="32"/>
          <w:lang w:val="en-US" w:eastAsia="zh-CN" w:bidi="ar-SA"/>
        </w:rPr>
      </w:pPr>
      <w:r>
        <w:rPr>
          <w:rFonts w:hint="eastAsia" w:ascii="黑体" w:hAnsi="黑体" w:eastAsia="黑体" w:cs="宋体"/>
          <w:b w:val="0"/>
          <w:bCs w:val="0"/>
          <w:color w:val="000000"/>
          <w:kern w:val="0"/>
          <w:sz w:val="32"/>
          <w:szCs w:val="32"/>
          <w:lang w:val="en-US" w:eastAsia="zh-CN" w:bidi="ar-SA"/>
        </w:rPr>
        <w:t>第六章  附  则</w:t>
      </w:r>
    </w:p>
    <w:p>
      <w:pPr>
        <w:keepNext w:val="0"/>
        <w:keepLines w:val="0"/>
        <w:pageBreakBefore w:val="0"/>
        <w:widowControl w:val="0"/>
        <w:kinsoku/>
        <w:wordWrap/>
        <w:overflowPunct/>
        <w:topLinePunct w:val="0"/>
        <w:autoSpaceDE/>
        <w:autoSpaceDN w:val="0"/>
        <w:bidi w:val="0"/>
        <w:adjustRightInd/>
        <w:snapToGrid/>
        <w:spacing w:beforeAutospacing="0" w:afterAutospacing="0" w:line="560" w:lineRule="exact"/>
        <w:ind w:left="0" w:leftChars="0" w:firstLine="643" w:firstLineChars="200"/>
        <w:jc w:val="both"/>
        <w:textAlignment w:val="auto"/>
        <w:rPr>
          <w:rFonts w:hint="default" w:ascii="仿宋_GB2312" w:hAnsi="仿宋" w:eastAsia="仿宋_GB2312" w:cstheme="minorBidi"/>
          <w:b/>
          <w:bCs/>
          <w:kern w:val="0"/>
          <w:sz w:val="32"/>
          <w:szCs w:val="32"/>
          <w:highlight w:val="none"/>
          <w:lang w:val="en-US" w:eastAsia="zh-CN" w:bidi="ar-SA"/>
        </w:rPr>
      </w:pPr>
    </w:p>
    <w:p>
      <w:pPr>
        <w:keepNext w:val="0"/>
        <w:keepLines w:val="0"/>
        <w:pageBreakBefore w:val="0"/>
        <w:widowControl w:val="0"/>
        <w:kinsoku/>
        <w:wordWrap/>
        <w:overflowPunct/>
        <w:topLinePunct w:val="0"/>
        <w:autoSpaceDE/>
        <w:autoSpaceDN w:val="0"/>
        <w:bidi w:val="0"/>
        <w:adjustRightInd/>
        <w:snapToGrid/>
        <w:spacing w:beforeAutospacing="0" w:afterAutospacing="0" w:line="560" w:lineRule="exact"/>
        <w:ind w:left="0" w:leftChars="0" w:firstLine="643" w:firstLineChars="200"/>
        <w:jc w:val="both"/>
        <w:textAlignment w:val="auto"/>
        <w:rPr>
          <w:highlight w:val="none"/>
        </w:rPr>
      </w:pPr>
      <w:r>
        <w:rPr>
          <w:rFonts w:hint="eastAsia" w:ascii="楷体_GB2312" w:hAnsi="楷体_GB2312" w:eastAsia="楷体_GB2312" w:cs="楷体_GB2312"/>
          <w:b/>
          <w:bCs w:val="0"/>
          <w:color w:val="auto"/>
          <w:kern w:val="2"/>
          <w:sz w:val="32"/>
          <w:szCs w:val="24"/>
          <w:highlight w:val="none"/>
          <w:lang w:val="en-US" w:eastAsia="zh-CN" w:bidi="ar"/>
        </w:rPr>
        <w:t xml:space="preserve">第十九条  </w:t>
      </w:r>
      <w:r>
        <w:rPr>
          <w:rFonts w:hint="default" w:ascii="仿宋_GB2312" w:hAnsi="仿宋_GB2312" w:eastAsia="仿宋_GB2312" w:cs="黑体"/>
          <w:b w:val="0"/>
          <w:bCs w:val="0"/>
          <w:kern w:val="2"/>
          <w:sz w:val="32"/>
          <w:szCs w:val="32"/>
          <w:highlight w:val="none"/>
          <w:lang w:val="en-US" w:eastAsia="zh-CN"/>
        </w:rPr>
        <w:t>本措施自发布之日起施行，有效期三年</w:t>
      </w:r>
      <w:r>
        <w:rPr>
          <w:rFonts w:hint="eastAsia" w:ascii="仿宋_GB2312" w:hAnsi="仿宋_GB2312" w:eastAsia="仿宋_GB2312" w:cs="黑体"/>
          <w:b w:val="0"/>
          <w:bCs w:val="0"/>
          <w:kern w:val="2"/>
          <w:sz w:val="32"/>
          <w:szCs w:val="32"/>
          <w:highlight w:val="none"/>
          <w:lang w:val="en-US" w:eastAsia="zh-CN"/>
        </w:rPr>
        <w:t>。</w:t>
      </w:r>
    </w:p>
    <w:p>
      <w:pPr>
        <w:keepNext w:val="0"/>
        <w:keepLines w:val="0"/>
        <w:pageBreakBefore w:val="0"/>
        <w:widowControl w:val="0"/>
        <w:kinsoku/>
        <w:wordWrap/>
        <w:overflowPunct/>
        <w:topLinePunct w:val="0"/>
        <w:autoSpaceDE/>
        <w:bidi w:val="0"/>
        <w:adjustRightInd/>
        <w:snapToGrid/>
        <w:spacing w:beforeAutospacing="0" w:afterAutospacing="0" w:line="560" w:lineRule="exact"/>
        <w:ind w:left="0" w:leftChars="0" w:firstLine="643" w:firstLineChars="200"/>
        <w:jc w:val="both"/>
        <w:textAlignment w:val="auto"/>
        <w:rPr>
          <w:rFonts w:hint="default" w:ascii="仿宋_GB2312" w:hAnsi="仿宋_GB2312" w:eastAsia="仿宋_GB2312" w:cs="黑体"/>
          <w:b w:val="0"/>
          <w:bCs w:val="0"/>
          <w:kern w:val="2"/>
          <w:sz w:val="32"/>
          <w:szCs w:val="32"/>
          <w:highlight w:val="none"/>
        </w:rPr>
      </w:pPr>
      <w:r>
        <w:rPr>
          <w:rFonts w:hint="eastAsia" w:ascii="楷体_GB2312" w:hAnsi="楷体_GB2312" w:eastAsia="楷体_GB2312" w:cs="楷体_GB2312"/>
          <w:b/>
          <w:bCs w:val="0"/>
          <w:color w:val="auto"/>
          <w:kern w:val="2"/>
          <w:sz w:val="32"/>
          <w:szCs w:val="24"/>
          <w:highlight w:val="none"/>
          <w:lang w:val="en-US" w:eastAsia="zh-CN" w:bidi="ar"/>
        </w:rPr>
        <w:t xml:space="preserve">第二十条  </w:t>
      </w:r>
      <w:r>
        <w:rPr>
          <w:rFonts w:hint="eastAsia" w:ascii="仿宋_GB2312" w:hAnsi="仿宋" w:eastAsia="仿宋_GB2312"/>
          <w:b w:val="0"/>
          <w:bCs w:val="0"/>
          <w:sz w:val="32"/>
          <w:szCs w:val="32"/>
          <w:highlight w:val="none"/>
          <w:lang w:val="en-US" w:eastAsia="zh-CN"/>
        </w:rPr>
        <w:t>本措施</w:t>
      </w:r>
      <w:r>
        <w:rPr>
          <w:rFonts w:hint="default" w:ascii="仿宋_GB2312" w:hAnsi="仿宋" w:eastAsia="仿宋_GB2312"/>
          <w:b w:val="0"/>
          <w:bCs w:val="0"/>
          <w:sz w:val="32"/>
          <w:szCs w:val="32"/>
          <w:highlight w:val="none"/>
          <w:lang w:val="en-US" w:eastAsia="zh-CN"/>
        </w:rPr>
        <w:t>由</w:t>
      </w:r>
      <w:r>
        <w:rPr>
          <w:rFonts w:hint="default" w:ascii="仿宋_GB2312" w:hAnsi="仿宋_GB2312" w:eastAsia="仿宋_GB2312" w:cs="黑体"/>
          <w:b w:val="0"/>
          <w:bCs w:val="0"/>
          <w:kern w:val="2"/>
          <w:sz w:val="32"/>
          <w:szCs w:val="32"/>
          <w:highlight w:val="none"/>
        </w:rPr>
        <w:t>区企服中心负责解释</w:t>
      </w:r>
      <w:r>
        <w:rPr>
          <w:rFonts w:hint="eastAsia" w:ascii="仿宋_GB2312" w:hAnsi="仿宋_GB2312" w:eastAsia="仿宋_GB2312" w:cs="黑体"/>
          <w:b w:val="0"/>
          <w:bCs w:val="0"/>
          <w:kern w:val="2"/>
          <w:sz w:val="32"/>
          <w:szCs w:val="32"/>
          <w:highlight w:val="none"/>
          <w:lang w:eastAsia="zh-CN"/>
        </w:rPr>
        <w:t>，具体解释工作由相关</w:t>
      </w:r>
      <w:bookmarkStart w:id="2264" w:name="_GoBack"/>
      <w:bookmarkEnd w:id="2264"/>
      <w:r>
        <w:rPr>
          <w:rFonts w:hint="eastAsia" w:ascii="仿宋_GB2312" w:hAnsi="仿宋_GB2312" w:eastAsia="仿宋_GB2312" w:cs="黑体"/>
          <w:b w:val="0"/>
          <w:bCs w:val="0"/>
          <w:kern w:val="2"/>
          <w:sz w:val="32"/>
          <w:szCs w:val="32"/>
          <w:highlight w:val="none"/>
          <w:lang w:eastAsia="zh-CN"/>
        </w:rPr>
        <w:t>部门承担</w:t>
      </w:r>
      <w:r>
        <w:rPr>
          <w:rFonts w:hint="default" w:ascii="仿宋_GB2312" w:hAnsi="仿宋_GB2312" w:eastAsia="仿宋_GB2312" w:cs="黑体"/>
          <w:b w:val="0"/>
          <w:bCs w:val="0"/>
          <w:kern w:val="2"/>
          <w:sz w:val="32"/>
          <w:szCs w:val="32"/>
          <w:highlight w:val="none"/>
        </w:rPr>
        <w:t>。</w:t>
      </w:r>
    </w:p>
    <w:p>
      <w:pPr>
        <w:pStyle w:val="2"/>
        <w:keepNext w:val="0"/>
        <w:keepLines w:val="0"/>
        <w:pageBreakBefore w:val="0"/>
        <w:widowControl w:val="0"/>
        <w:wordWrap/>
        <w:topLinePunct w:val="0"/>
        <w:bidi w:val="0"/>
        <w:spacing w:before="0" w:beforeLines="0" w:beforeAutospacing="0" w:after="0" w:afterLines="0" w:afterAutospacing="0" w:line="560" w:lineRule="exact"/>
        <w:ind w:left="0" w:leftChars="0"/>
        <w:rPr>
          <w:rFonts w:hint="default" w:ascii="仿宋_GB2312" w:hAnsi="仿宋_GB2312" w:eastAsia="仿宋_GB2312" w:cs="黑体"/>
          <w:b w:val="0"/>
          <w:bCs w:val="0"/>
          <w:kern w:val="2"/>
          <w:sz w:val="32"/>
          <w:szCs w:val="32"/>
          <w:highlight w:val="none"/>
        </w:rPr>
      </w:pPr>
    </w:p>
    <w:p>
      <w:pPr>
        <w:keepNext w:val="0"/>
        <w:keepLines w:val="0"/>
        <w:pageBreakBefore w:val="0"/>
        <w:widowControl w:val="0"/>
        <w:wordWrap/>
        <w:topLinePunct w:val="0"/>
        <w:bidi w:val="0"/>
        <w:spacing w:beforeAutospacing="0" w:afterAutospacing="0" w:line="560" w:lineRule="exact"/>
        <w:ind w:left="0" w:leftChars="0"/>
        <w:rPr>
          <w:rFonts w:hint="default" w:ascii="仿宋_GB2312" w:hAnsi="仿宋_GB2312" w:eastAsia="仿宋_GB2312" w:cs="黑体"/>
          <w:b w:val="0"/>
          <w:bCs w:val="0"/>
          <w:kern w:val="2"/>
          <w:sz w:val="32"/>
          <w:szCs w:val="32"/>
          <w:highlight w:val="none"/>
        </w:rPr>
      </w:pPr>
    </w:p>
    <w:p>
      <w:pPr>
        <w:pStyle w:val="2"/>
        <w:keepNext w:val="0"/>
        <w:keepLines w:val="0"/>
        <w:pageBreakBefore w:val="0"/>
        <w:widowControl w:val="0"/>
        <w:wordWrap/>
        <w:topLinePunct w:val="0"/>
        <w:bidi w:val="0"/>
        <w:spacing w:before="0" w:beforeLines="0" w:beforeAutospacing="0" w:after="0" w:afterLines="0" w:afterAutospacing="0" w:line="560" w:lineRule="exact"/>
        <w:ind w:left="0" w:leftChars="0"/>
        <w:rPr>
          <w:rFonts w:hint="default" w:ascii="仿宋_GB2312" w:hAnsi="仿宋_GB2312" w:eastAsia="仿宋_GB2312" w:cs="黑体"/>
          <w:b w:val="0"/>
          <w:bCs w:val="0"/>
          <w:kern w:val="2"/>
          <w:sz w:val="32"/>
          <w:szCs w:val="32"/>
          <w:highlight w:val="none"/>
        </w:rPr>
      </w:pPr>
    </w:p>
    <w:p>
      <w:pPr>
        <w:keepNext w:val="0"/>
        <w:keepLines w:val="0"/>
        <w:pageBreakBefore w:val="0"/>
        <w:widowControl w:val="0"/>
        <w:wordWrap/>
        <w:topLinePunct w:val="0"/>
        <w:bidi w:val="0"/>
        <w:spacing w:beforeAutospacing="0" w:afterAutospacing="0" w:line="560" w:lineRule="exact"/>
        <w:ind w:left="0" w:leftChars="0"/>
        <w:rPr>
          <w:rFonts w:hint="default" w:ascii="仿宋_GB2312" w:hAnsi="仿宋_GB2312" w:eastAsia="仿宋_GB2312" w:cs="黑体"/>
          <w:b w:val="0"/>
          <w:bCs w:val="0"/>
          <w:kern w:val="2"/>
          <w:sz w:val="32"/>
          <w:szCs w:val="32"/>
          <w:highlight w:val="none"/>
        </w:rPr>
      </w:pPr>
    </w:p>
    <w:p>
      <w:pPr>
        <w:pStyle w:val="2"/>
        <w:keepNext w:val="0"/>
        <w:keepLines w:val="0"/>
        <w:pageBreakBefore w:val="0"/>
        <w:widowControl w:val="0"/>
        <w:wordWrap/>
        <w:topLinePunct w:val="0"/>
        <w:bidi w:val="0"/>
        <w:spacing w:before="0" w:beforeLines="0" w:beforeAutospacing="0" w:after="0" w:afterLines="0" w:afterAutospacing="0" w:line="560" w:lineRule="exact"/>
        <w:ind w:left="0" w:leftChars="0"/>
        <w:rPr>
          <w:rFonts w:hint="default" w:ascii="仿宋_GB2312" w:hAnsi="仿宋_GB2312" w:eastAsia="仿宋_GB2312" w:cs="黑体"/>
          <w:b w:val="0"/>
          <w:bCs w:val="0"/>
          <w:kern w:val="2"/>
          <w:sz w:val="32"/>
          <w:szCs w:val="32"/>
          <w:highlight w:val="none"/>
        </w:rPr>
      </w:pPr>
    </w:p>
    <w:p>
      <w:pPr>
        <w:keepNext w:val="0"/>
        <w:keepLines w:val="0"/>
        <w:pageBreakBefore w:val="0"/>
        <w:widowControl w:val="0"/>
        <w:wordWrap/>
        <w:topLinePunct w:val="0"/>
        <w:bidi w:val="0"/>
        <w:spacing w:beforeAutospacing="0" w:afterAutospacing="0" w:line="560" w:lineRule="exact"/>
        <w:ind w:left="0" w:leftChars="0"/>
        <w:rPr>
          <w:rFonts w:hint="default" w:ascii="仿宋_GB2312" w:hAnsi="仿宋_GB2312" w:eastAsia="仿宋_GB2312" w:cs="黑体"/>
          <w:b w:val="0"/>
          <w:bCs w:val="0"/>
          <w:kern w:val="2"/>
          <w:sz w:val="32"/>
          <w:szCs w:val="32"/>
          <w:highlight w:val="none"/>
        </w:rPr>
      </w:pPr>
    </w:p>
    <w:p>
      <w:pPr>
        <w:pStyle w:val="2"/>
        <w:keepNext w:val="0"/>
        <w:keepLines w:val="0"/>
        <w:pageBreakBefore w:val="0"/>
        <w:widowControl w:val="0"/>
        <w:wordWrap/>
        <w:topLinePunct w:val="0"/>
        <w:bidi w:val="0"/>
        <w:spacing w:before="0" w:beforeLines="0" w:beforeAutospacing="0" w:after="0" w:afterLines="0" w:afterAutospacing="0" w:line="560" w:lineRule="exact"/>
        <w:ind w:left="0" w:leftChars="0"/>
        <w:rPr>
          <w:rFonts w:hint="default" w:ascii="仿宋_GB2312" w:hAnsi="仿宋_GB2312" w:eastAsia="仿宋_GB2312" w:cs="黑体"/>
          <w:b w:val="0"/>
          <w:bCs w:val="0"/>
          <w:kern w:val="2"/>
          <w:sz w:val="32"/>
          <w:szCs w:val="32"/>
          <w:highlight w:val="none"/>
        </w:rPr>
      </w:pPr>
    </w:p>
    <w:p>
      <w:pPr>
        <w:pStyle w:val="2"/>
        <w:keepNext w:val="0"/>
        <w:keepLines w:val="0"/>
        <w:pageBreakBefore w:val="0"/>
        <w:widowControl w:val="0"/>
        <w:wordWrap/>
        <w:topLinePunct w:val="0"/>
        <w:bidi w:val="0"/>
        <w:spacing w:before="0" w:beforeLines="0" w:beforeAutospacing="0" w:after="0" w:afterLines="0" w:afterAutospacing="0" w:line="560" w:lineRule="exact"/>
        <w:ind w:left="0" w:leftChars="0"/>
        <w:jc w:val="both"/>
        <w:rPr>
          <w:rFonts w:hint="default" w:ascii="仿宋_GB2312" w:hAnsi="仿宋_GB2312" w:eastAsia="仿宋_GB2312" w:cs="黑体"/>
          <w:b w:val="0"/>
          <w:bCs w:val="0"/>
          <w:kern w:val="2"/>
          <w:sz w:val="32"/>
          <w:szCs w:val="32"/>
          <w:highlight w:val="none"/>
        </w:rPr>
      </w:pPr>
    </w:p>
    <w:p>
      <w:pPr>
        <w:keepNext w:val="0"/>
        <w:keepLines w:val="0"/>
        <w:pageBreakBefore w:val="0"/>
        <w:widowControl w:val="0"/>
        <w:wordWrap/>
        <w:topLinePunct w:val="0"/>
        <w:bidi w:val="0"/>
        <w:spacing w:beforeAutospacing="0" w:afterAutospacing="0" w:line="560" w:lineRule="exact"/>
        <w:ind w:left="0" w:leftChars="0"/>
        <w:rPr>
          <w:rFonts w:hint="default" w:ascii="仿宋_GB2312" w:hAnsi="仿宋_GB2312" w:eastAsia="仿宋_GB2312" w:cs="黑体"/>
          <w:b w:val="0"/>
          <w:bCs w:val="0"/>
          <w:kern w:val="2"/>
          <w:sz w:val="32"/>
          <w:szCs w:val="32"/>
          <w:highlight w:val="none"/>
        </w:rPr>
      </w:pPr>
    </w:p>
    <w:p>
      <w:pPr>
        <w:keepNext w:val="0"/>
        <w:keepLines w:val="0"/>
        <w:pageBreakBefore w:val="0"/>
        <w:widowControl w:val="0"/>
        <w:wordWrap/>
        <w:topLinePunct w:val="0"/>
        <w:bidi w:val="0"/>
        <w:spacing w:beforeAutospacing="0" w:afterAutospacing="0" w:line="560" w:lineRule="exact"/>
        <w:ind w:left="0" w:leftChars="0"/>
        <w:jc w:val="center"/>
        <w:rPr>
          <w:rFonts w:hint="eastAsia" w:ascii="方正小标宋_GBK" w:hAnsi="方正小标宋_GBK" w:eastAsia="方正小标宋_GBK" w:cs="方正小标宋_GBK"/>
          <w:color w:val="000000"/>
          <w:sz w:val="44"/>
          <w:szCs w:val="44"/>
          <w:highlight w:val="none"/>
        </w:rPr>
      </w:pPr>
    </w:p>
    <w:p>
      <w:pPr>
        <w:keepNext w:val="0"/>
        <w:keepLines w:val="0"/>
        <w:pageBreakBefore w:val="0"/>
        <w:widowControl w:val="0"/>
        <w:wordWrap/>
        <w:topLinePunct w:val="0"/>
        <w:bidi w:val="0"/>
        <w:spacing w:beforeAutospacing="0" w:afterAutospacing="0" w:line="560" w:lineRule="exact"/>
        <w:ind w:left="0" w:leftChars="0"/>
        <w:jc w:val="center"/>
        <w:rPr>
          <w:rFonts w:hint="eastAsia" w:ascii="方正小标宋_GBK" w:hAnsi="方正小标宋_GBK" w:eastAsia="方正小标宋_GBK" w:cs="方正小标宋_GBK"/>
          <w:color w:val="000000"/>
          <w:sz w:val="44"/>
          <w:szCs w:val="44"/>
          <w:highlight w:val="none"/>
        </w:rPr>
      </w:pPr>
    </w:p>
    <w:p>
      <w:pPr>
        <w:pStyle w:val="2"/>
        <w:rPr>
          <w:rFonts w:hint="eastAsia" w:ascii="方正小标宋_GBK" w:hAnsi="方正小标宋_GBK" w:eastAsia="方正小标宋_GBK" w:cs="方正小标宋_GBK"/>
          <w:color w:val="000000"/>
          <w:sz w:val="44"/>
          <w:szCs w:val="44"/>
          <w:highlight w:val="none"/>
        </w:rPr>
      </w:pPr>
    </w:p>
    <w:p>
      <w:pPr>
        <w:pStyle w:val="2"/>
        <w:jc w:val="both"/>
        <w:rPr>
          <w:rFonts w:hint="eastAsia"/>
        </w:rPr>
      </w:pPr>
    </w:p>
    <w:p>
      <w:pPr>
        <w:keepNext w:val="0"/>
        <w:keepLines w:val="0"/>
        <w:pageBreakBefore w:val="0"/>
        <w:widowControl w:val="0"/>
        <w:wordWrap/>
        <w:topLinePunct w:val="0"/>
        <w:bidi w:val="0"/>
        <w:spacing w:beforeAutospacing="0" w:afterAutospacing="0" w:line="560" w:lineRule="exact"/>
        <w:ind w:left="0" w:leftChars="0"/>
        <w:jc w:val="center"/>
        <w:rPr>
          <w:rFonts w:hint="eastAsia" w:ascii="方正小标宋_GBK" w:hAnsi="方正小标宋_GBK" w:eastAsia="方正小标宋_GBK" w:cs="方正小标宋_GBK"/>
          <w:color w:val="000000"/>
          <w:sz w:val="44"/>
          <w:szCs w:val="44"/>
          <w:highlight w:val="none"/>
        </w:rPr>
      </w:pPr>
    </w:p>
    <w:p>
      <w:pPr>
        <w:spacing w:after="0" w:line="560" w:lineRule="exact"/>
        <w:jc w:val="center"/>
        <w:rPr>
          <w:rFonts w:hint="eastAsia" w:ascii="方正小标宋_GBK" w:hAnsi="方正小标宋_GBK" w:eastAsia="方正小标宋_GBK" w:cs="方正小标宋_GBK"/>
          <w:color w:val="000000"/>
          <w:sz w:val="44"/>
          <w:szCs w:val="44"/>
          <w:highlight w:val="none"/>
        </w:rPr>
      </w:pPr>
    </w:p>
    <w:p>
      <w:pPr>
        <w:rPr>
          <w:rFonts w:hint="eastAsia" w:ascii="方正小标宋_GBK" w:hAnsi="方正小标宋_GBK" w:eastAsia="方正小标宋_GBK" w:cs="方正小标宋_GBK"/>
          <w:color w:val="000000"/>
          <w:sz w:val="44"/>
          <w:szCs w:val="44"/>
          <w:highlight w:val="none"/>
        </w:rPr>
      </w:pPr>
      <w:r>
        <w:rPr>
          <w:rFonts w:hint="eastAsia" w:ascii="方正小标宋_GBK" w:hAnsi="方正小标宋_GBK" w:eastAsia="方正小标宋_GBK" w:cs="方正小标宋_GBK"/>
          <w:color w:val="000000"/>
          <w:sz w:val="44"/>
          <w:szCs w:val="44"/>
          <w:highlight w:val="none"/>
        </w:rPr>
        <w:br w:type="page"/>
      </w:r>
    </w:p>
    <w:p>
      <w:pPr>
        <w:spacing w:after="0" w:line="560" w:lineRule="exact"/>
        <w:jc w:val="center"/>
        <w:rPr>
          <w:rFonts w:ascii="方正小标宋_GBK" w:hAnsi="方正小标宋_GBK" w:eastAsia="方正小标宋_GBK" w:cs="方正小标宋_GBK"/>
          <w:color w:val="000000"/>
          <w:sz w:val="44"/>
          <w:szCs w:val="44"/>
          <w:highlight w:val="none"/>
        </w:rPr>
      </w:pPr>
      <w:r>
        <w:rPr>
          <w:rFonts w:hint="eastAsia" w:ascii="方正小标宋_GBK" w:hAnsi="方正小标宋_GBK" w:eastAsia="方正小标宋_GBK" w:cs="方正小标宋_GBK"/>
          <w:color w:val="000000"/>
          <w:sz w:val="44"/>
          <w:szCs w:val="44"/>
          <w:highlight w:val="none"/>
        </w:rPr>
        <w:t>南山区</w:t>
      </w:r>
      <w:r>
        <w:rPr>
          <w:rFonts w:hint="eastAsia" w:ascii="方正小标宋_GBK" w:hAnsi="方正小标宋_GBK" w:eastAsia="方正小标宋_GBK" w:cs="方正小标宋_GBK"/>
          <w:color w:val="000000"/>
          <w:sz w:val="44"/>
          <w:szCs w:val="44"/>
          <w:highlight w:val="none"/>
          <w:lang w:eastAsia="zh-CN"/>
        </w:rPr>
        <w:t>促进</w:t>
      </w:r>
      <w:r>
        <w:rPr>
          <w:rFonts w:hint="eastAsia" w:ascii="方正小标宋_GBK" w:hAnsi="方正小标宋_GBK" w:eastAsia="方正小标宋_GBK" w:cs="方正小标宋_GBK"/>
          <w:color w:val="000000"/>
          <w:sz w:val="44"/>
          <w:szCs w:val="44"/>
          <w:highlight w:val="none"/>
        </w:rPr>
        <w:t>科技创新</w:t>
      </w:r>
      <w:r>
        <w:rPr>
          <w:rFonts w:hint="eastAsia" w:ascii="方正小标宋_GBK" w:hAnsi="方正小标宋_GBK" w:eastAsia="方正小标宋_GBK" w:cs="方正小标宋_GBK"/>
          <w:color w:val="000000"/>
          <w:sz w:val="44"/>
          <w:szCs w:val="44"/>
          <w:highlight w:val="none"/>
          <w:lang w:eastAsia="zh-CN"/>
        </w:rPr>
        <w:t>专项</w:t>
      </w:r>
      <w:r>
        <w:rPr>
          <w:rFonts w:hint="eastAsia" w:ascii="方正小标宋_GBK" w:hAnsi="方正小标宋_GBK" w:eastAsia="方正小标宋_GBK" w:cs="方正小标宋_GBK"/>
          <w:color w:val="000000"/>
          <w:sz w:val="44"/>
          <w:szCs w:val="44"/>
          <w:highlight w:val="none"/>
        </w:rPr>
        <w:t>扶持措施</w:t>
      </w:r>
    </w:p>
    <w:p>
      <w:pPr>
        <w:spacing w:after="0" w:line="560" w:lineRule="exact"/>
        <w:jc w:val="center"/>
        <w:rPr>
          <w:rFonts w:ascii="宋体" w:hAnsi="宋体" w:eastAsia="宋体" w:cs="宋体"/>
          <w:b/>
          <w:bCs/>
          <w:sz w:val="36"/>
          <w:szCs w:val="36"/>
          <w:highlight w:val="none"/>
        </w:rPr>
      </w:pPr>
      <w:r>
        <w:rPr>
          <w:rFonts w:hint="eastAsia" w:ascii="宋体" w:hAnsi="宋体" w:eastAsia="宋体" w:cs="宋体"/>
          <w:b/>
          <w:bCs/>
          <w:sz w:val="36"/>
          <w:szCs w:val="36"/>
          <w:highlight w:val="none"/>
        </w:rPr>
        <w:t>（征求意见稿）</w:t>
      </w:r>
    </w:p>
    <w:p>
      <w:pPr>
        <w:pStyle w:val="12"/>
        <w:spacing w:after="0" w:line="560" w:lineRule="exact"/>
        <w:ind w:firstLine="320"/>
        <w:rPr>
          <w:highlight w:val="none"/>
        </w:rPr>
      </w:pPr>
    </w:p>
    <w:p>
      <w:pPr>
        <w:spacing w:after="0" w:line="560" w:lineRule="exact"/>
        <w:jc w:val="center"/>
        <w:outlineLvl w:val="0"/>
        <w:rPr>
          <w:rFonts w:ascii="黑体" w:eastAsia="黑体"/>
          <w:color w:val="000000"/>
          <w:szCs w:val="32"/>
          <w:highlight w:val="none"/>
        </w:rPr>
      </w:pPr>
      <w:bookmarkStart w:id="162" w:name="_Toc6482"/>
      <w:bookmarkStart w:id="163" w:name="_Toc25963"/>
      <w:bookmarkStart w:id="164" w:name="_Toc13047"/>
      <w:bookmarkStart w:id="165" w:name="_Toc42189070"/>
      <w:bookmarkStart w:id="166" w:name="_Toc17886"/>
      <w:bookmarkStart w:id="167" w:name="_Toc1228"/>
      <w:bookmarkStart w:id="168" w:name="_Toc1304"/>
      <w:bookmarkStart w:id="169" w:name="_Toc28300"/>
      <w:bookmarkStart w:id="170" w:name="_Toc13471"/>
      <w:bookmarkStart w:id="171" w:name="_Toc5995"/>
      <w:bookmarkStart w:id="172" w:name="_Toc32450"/>
      <w:bookmarkStart w:id="173" w:name="_Toc21420"/>
      <w:bookmarkStart w:id="174" w:name="_Toc20266"/>
      <w:bookmarkStart w:id="175" w:name="_Toc21469"/>
      <w:r>
        <w:rPr>
          <w:rFonts w:hint="eastAsia" w:ascii="黑体" w:eastAsia="黑体"/>
          <w:color w:val="000000"/>
          <w:szCs w:val="32"/>
          <w:highlight w:val="none"/>
        </w:rPr>
        <w:t>第一章  总</w:t>
      </w:r>
      <w:r>
        <w:rPr>
          <w:rFonts w:hint="eastAsia" w:ascii="黑体" w:eastAsia="黑体"/>
          <w:color w:val="000000"/>
          <w:szCs w:val="32"/>
          <w:highlight w:val="none"/>
          <w:lang w:val="en-US" w:eastAsia="zh-CN"/>
        </w:rPr>
        <w:t xml:space="preserve">  </w:t>
      </w:r>
      <w:r>
        <w:rPr>
          <w:rFonts w:hint="eastAsia" w:ascii="黑体" w:eastAsia="黑体"/>
          <w:color w:val="000000"/>
          <w:szCs w:val="32"/>
          <w:highlight w:val="none"/>
        </w:rPr>
        <w:t>则</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spacing w:after="0" w:line="560" w:lineRule="exact"/>
        <w:rPr>
          <w:rFonts w:ascii="仿宋_GB2312"/>
          <w:color w:val="000000"/>
          <w:szCs w:val="32"/>
          <w:highlight w:val="none"/>
        </w:rPr>
      </w:pPr>
    </w:p>
    <w:p>
      <w:pPr>
        <w:spacing w:after="0" w:line="560" w:lineRule="exact"/>
        <w:ind w:firstLine="643" w:firstLineChars="200"/>
        <w:rPr>
          <w:rFonts w:ascii="仿宋_GB2312"/>
          <w:color w:val="000000"/>
          <w:szCs w:val="32"/>
          <w:highlight w:val="none"/>
        </w:rPr>
      </w:pPr>
      <w:r>
        <w:rPr>
          <w:rFonts w:hint="eastAsia" w:ascii="楷体_GB2312" w:hAnsi="楷体_GB2312" w:eastAsia="楷体_GB2312" w:cs="楷体_GB2312"/>
          <w:b/>
          <w:color w:val="auto"/>
          <w:szCs w:val="24"/>
          <w:highlight w:val="none"/>
          <w:lang w:bidi="ar"/>
        </w:rPr>
        <w:t>第一条</w:t>
      </w:r>
      <w:r>
        <w:rPr>
          <w:rFonts w:hint="eastAsia" w:ascii="黑体" w:hAnsi="黑体" w:eastAsia="黑体"/>
          <w:color w:val="000000"/>
          <w:szCs w:val="32"/>
          <w:highlight w:val="none"/>
        </w:rPr>
        <w:t xml:space="preserve">  </w:t>
      </w:r>
      <w:r>
        <w:rPr>
          <w:rFonts w:hint="eastAsia" w:ascii="仿宋_GB2312"/>
          <w:color w:val="000000"/>
          <w:szCs w:val="32"/>
          <w:highlight w:val="none"/>
        </w:rPr>
        <w:t>为深入实施创新驱动发展战略，抢抓</w:t>
      </w:r>
      <w:r>
        <w:rPr>
          <w:rFonts w:hint="eastAsia" w:ascii="仿宋_GB2312" w:hAnsi="宋体"/>
          <w:color w:val="000000"/>
          <w:szCs w:val="32"/>
          <w:highlight w:val="none"/>
        </w:rPr>
        <w:t>粤港澳大湾区和深圳先行示范区“双区”建设机遇，推动高质量发展，实现高水平的科技自立自强，</w:t>
      </w:r>
      <w:r>
        <w:rPr>
          <w:rFonts w:hint="eastAsia" w:ascii="仿宋_GB2312"/>
          <w:color w:val="000000"/>
          <w:szCs w:val="32"/>
          <w:highlight w:val="none"/>
        </w:rPr>
        <w:t>打造国际科技、产业创新中心核心区，实现南山建成世界级创新型滨海中心城区的目标，同时规范南山区自主创新产业发展专项资金科技创新分项资金的使用和管理，根据《南山区自主创新产业发展专项资金管理办法》和全区科技创新工作部署，制定本措施。</w:t>
      </w:r>
    </w:p>
    <w:p>
      <w:pPr>
        <w:spacing w:after="0" w:line="560" w:lineRule="exact"/>
        <w:ind w:firstLine="643" w:firstLineChars="200"/>
        <w:rPr>
          <w:rFonts w:ascii="仿宋_GB2312"/>
          <w:color w:val="000000"/>
          <w:szCs w:val="32"/>
          <w:highlight w:val="none"/>
        </w:rPr>
      </w:pPr>
      <w:r>
        <w:rPr>
          <w:rFonts w:hint="eastAsia" w:ascii="楷体_GB2312" w:hAnsi="楷体_GB2312" w:eastAsia="楷体_GB2312" w:cs="楷体_GB2312"/>
          <w:b/>
          <w:color w:val="auto"/>
          <w:szCs w:val="24"/>
          <w:highlight w:val="none"/>
          <w:lang w:bidi="ar"/>
        </w:rPr>
        <w:t>第二条</w:t>
      </w:r>
      <w:r>
        <w:rPr>
          <w:rFonts w:hint="eastAsia" w:ascii="黑体" w:hAnsi="黑体" w:eastAsia="黑体"/>
          <w:color w:val="000000"/>
          <w:szCs w:val="32"/>
          <w:highlight w:val="none"/>
        </w:rPr>
        <w:t xml:space="preserve"> </w:t>
      </w:r>
      <w:r>
        <w:rPr>
          <w:rFonts w:hint="eastAsia" w:ascii="黑体" w:hAnsi="黑体" w:eastAsia="黑体"/>
          <w:color w:val="000000"/>
          <w:szCs w:val="32"/>
          <w:highlight w:val="none"/>
          <w:lang w:val="en-US" w:eastAsia="zh-CN"/>
        </w:rPr>
        <w:t xml:space="preserve"> </w:t>
      </w:r>
      <w:r>
        <w:rPr>
          <w:rFonts w:hint="eastAsia" w:ascii="仿宋_GB2312"/>
          <w:color w:val="000000"/>
          <w:szCs w:val="32"/>
          <w:highlight w:val="none"/>
        </w:rPr>
        <w:t>本措施支持范围包括创新平台体系建设、</w:t>
      </w:r>
      <w:r>
        <w:rPr>
          <w:rFonts w:ascii="仿宋_GB2312"/>
          <w:color w:val="000000"/>
          <w:szCs w:val="32"/>
          <w:highlight w:val="none"/>
        </w:rPr>
        <w:t>技术</w:t>
      </w:r>
      <w:r>
        <w:rPr>
          <w:rFonts w:hint="eastAsia" w:ascii="仿宋_GB2312"/>
          <w:color w:val="000000"/>
          <w:szCs w:val="32"/>
          <w:highlight w:val="none"/>
        </w:rPr>
        <w:t>研发体系建设、成果转化体系建设和孵化育成体系建设四大部分，每部分均有相应的支持计划。各部分资金量在资金总量控制范围内可适当调整。</w:t>
      </w:r>
    </w:p>
    <w:p>
      <w:pPr>
        <w:spacing w:after="0" w:line="560" w:lineRule="exact"/>
        <w:ind w:firstLine="643" w:firstLineChars="200"/>
        <w:rPr>
          <w:rFonts w:ascii="仿宋_GB2312"/>
          <w:color w:val="000000"/>
          <w:szCs w:val="32"/>
          <w:highlight w:val="none"/>
        </w:rPr>
      </w:pPr>
      <w:r>
        <w:rPr>
          <w:rFonts w:hint="eastAsia" w:ascii="楷体_GB2312" w:hAnsi="楷体_GB2312" w:eastAsia="楷体_GB2312" w:cs="楷体_GB2312"/>
          <w:b/>
          <w:color w:val="auto"/>
          <w:szCs w:val="24"/>
          <w:highlight w:val="none"/>
          <w:lang w:bidi="ar"/>
        </w:rPr>
        <w:t>第三条</w:t>
      </w:r>
      <w:r>
        <w:rPr>
          <w:rFonts w:hint="eastAsia" w:ascii="楷体_GB2312" w:hAnsi="楷体_GB2312" w:eastAsia="楷体_GB2312" w:cs="楷体_GB2312"/>
          <w:b/>
          <w:color w:val="auto"/>
          <w:szCs w:val="24"/>
          <w:highlight w:val="none"/>
          <w:lang w:val="en-US" w:eastAsia="zh-CN" w:bidi="ar"/>
        </w:rPr>
        <w:t xml:space="preserve">  </w:t>
      </w:r>
      <w:r>
        <w:rPr>
          <w:rFonts w:hint="eastAsia" w:ascii="仿宋_GB2312" w:hAnsi="仿宋_GB2312" w:eastAsia="仿宋_GB2312" w:cs="仿宋_GB2312"/>
          <w:color w:val="000000"/>
          <w:szCs w:val="32"/>
          <w:highlight w:val="none"/>
        </w:rPr>
        <w:t>区科技创新局为本措施</w:t>
      </w:r>
      <w:r>
        <w:rPr>
          <w:rFonts w:hint="default" w:ascii="仿宋_GB2312" w:hAnsi="仿宋_GB2312" w:cs="仿宋_GB2312"/>
          <w:color w:val="000000"/>
          <w:szCs w:val="32"/>
          <w:highlight w:val="none"/>
        </w:rPr>
        <w:t>（</w:t>
      </w:r>
      <w:r>
        <w:rPr>
          <w:rFonts w:hint="eastAsia" w:ascii="仿宋_GB2312" w:hAnsi="仿宋_GB2312" w:eastAsia="仿宋_GB2312" w:cs="仿宋_GB2312"/>
          <w:color w:val="000000"/>
          <w:szCs w:val="32"/>
          <w:highlight w:val="none"/>
        </w:rPr>
        <w:t>除“首版次”软件产品支持计划外</w:t>
      </w:r>
      <w:r>
        <w:rPr>
          <w:rFonts w:hint="default" w:ascii="仿宋_GB2312" w:hAnsi="仿宋_GB2312" w:cs="仿宋_GB2312"/>
          <w:color w:val="000000"/>
          <w:szCs w:val="32"/>
          <w:highlight w:val="none"/>
        </w:rPr>
        <w:t>的其余措施，下同）</w:t>
      </w:r>
      <w:r>
        <w:rPr>
          <w:rFonts w:hint="eastAsia" w:ascii="仿宋_GB2312" w:hAnsi="仿宋_GB2312" w:eastAsia="仿宋_GB2312" w:cs="仿宋_GB2312"/>
          <w:color w:val="000000"/>
          <w:szCs w:val="32"/>
          <w:highlight w:val="none"/>
        </w:rPr>
        <w:t>的主管部门，区自主创新产业发展专项资金领导小组、</w:t>
      </w:r>
      <w:r>
        <w:rPr>
          <w:rFonts w:hint="eastAsia" w:ascii="仿宋_GB2312" w:hAnsi="仿宋_GB2312" w:cs="仿宋_GB2312"/>
          <w:color w:val="000000"/>
          <w:szCs w:val="32"/>
          <w:highlight w:val="none"/>
          <w:lang w:eastAsia="zh-CN"/>
        </w:rPr>
        <w:t>区</w:t>
      </w:r>
      <w:r>
        <w:rPr>
          <w:rFonts w:hint="eastAsia" w:ascii="仿宋_GB2312" w:hAnsi="仿宋_GB2312" w:eastAsia="仿宋_GB2312" w:cs="仿宋_GB2312"/>
          <w:color w:val="000000"/>
          <w:szCs w:val="32"/>
          <w:highlight w:val="none"/>
        </w:rPr>
        <w:t>科技创新</w:t>
      </w:r>
      <w:r>
        <w:rPr>
          <w:rFonts w:hint="eastAsia" w:ascii="仿宋_GB2312" w:hAnsi="仿宋_GB2312" w:cs="仿宋_GB2312"/>
          <w:color w:val="000000"/>
          <w:szCs w:val="32"/>
          <w:highlight w:val="none"/>
          <w:lang w:eastAsia="zh-CN"/>
        </w:rPr>
        <w:t>局</w:t>
      </w:r>
      <w:r>
        <w:rPr>
          <w:rFonts w:hint="eastAsia" w:ascii="仿宋_GB2312" w:hAnsi="仿宋_GB2312" w:eastAsia="仿宋_GB2312" w:cs="仿宋_GB2312"/>
          <w:color w:val="000000"/>
          <w:szCs w:val="32"/>
          <w:highlight w:val="none"/>
        </w:rPr>
        <w:t>分项资金审批专责小组为本措施的决策审批机构。</w:t>
      </w:r>
      <w:r>
        <w:rPr>
          <w:rFonts w:hint="eastAsia" w:ascii="仿宋_GB2312" w:hAnsi="仿宋_GB2312" w:eastAsia="仿宋_GB2312" w:cs="仿宋_GB2312"/>
          <w:highlight w:val="none"/>
        </w:rPr>
        <w:t>区工业和信息化局为</w:t>
      </w:r>
      <w:r>
        <w:rPr>
          <w:rFonts w:hint="eastAsia" w:ascii="仿宋_GB2312" w:hAnsi="仿宋_GB2312" w:eastAsia="仿宋_GB2312" w:cs="仿宋_GB2312"/>
          <w:color w:val="000000"/>
          <w:szCs w:val="32"/>
          <w:highlight w:val="none"/>
        </w:rPr>
        <w:t>“首版次”软件产品支持计划</w:t>
      </w:r>
      <w:r>
        <w:rPr>
          <w:rFonts w:hint="eastAsia" w:ascii="仿宋_GB2312" w:hAnsi="仿宋_GB2312" w:eastAsia="仿宋_GB2312" w:cs="仿宋_GB2312"/>
          <w:highlight w:val="none"/>
        </w:rPr>
        <w:t>的主管部门，</w:t>
      </w:r>
      <w:r>
        <w:rPr>
          <w:rFonts w:hint="default" w:ascii="仿宋_GB2312" w:hAnsi="仿宋_GB2312" w:cs="仿宋_GB2312"/>
          <w:highlight w:val="none"/>
        </w:rPr>
        <w:t>具体事项及要求以区工业和信息化局主管的《南山区</w:t>
      </w:r>
      <w:r>
        <w:rPr>
          <w:rFonts w:hint="eastAsia" w:ascii="仿宋_GB2312" w:hAnsi="仿宋_GB2312" w:cs="仿宋_GB2312"/>
          <w:highlight w:val="none"/>
          <w:lang w:eastAsia="zh-CN"/>
        </w:rPr>
        <w:t>促进</w:t>
      </w:r>
      <w:r>
        <w:rPr>
          <w:rFonts w:hint="default" w:ascii="仿宋_GB2312" w:hAnsi="仿宋_GB2312" w:cs="仿宋_GB2312"/>
          <w:highlight w:val="none"/>
          <w:lang w:eastAsia="zh-CN"/>
        </w:rPr>
        <w:t>重点服务业专项扶持措施</w:t>
      </w:r>
      <w:r>
        <w:rPr>
          <w:rFonts w:hint="default" w:ascii="仿宋_GB2312" w:hAnsi="仿宋_GB2312" w:cs="仿宋_GB2312"/>
          <w:highlight w:val="none"/>
        </w:rPr>
        <w:t>》为准</w:t>
      </w:r>
      <w:r>
        <w:rPr>
          <w:rFonts w:hint="eastAsia" w:ascii="仿宋_GB2312" w:hAnsi="仿宋_GB2312" w:eastAsia="仿宋_GB2312" w:cs="仿宋_GB2312"/>
          <w:highlight w:val="none"/>
        </w:rPr>
        <w:t>。</w:t>
      </w:r>
    </w:p>
    <w:p>
      <w:pPr>
        <w:spacing w:after="0" w:line="560" w:lineRule="exact"/>
        <w:ind w:firstLine="643" w:firstLineChars="200"/>
        <w:rPr>
          <w:rFonts w:ascii="黑体" w:hAnsi="黑体"/>
          <w:color w:val="000000"/>
          <w:szCs w:val="32"/>
          <w:highlight w:val="none"/>
        </w:rPr>
      </w:pPr>
      <w:r>
        <w:rPr>
          <w:rFonts w:hint="eastAsia" w:ascii="楷体_GB2312" w:hAnsi="楷体_GB2312" w:eastAsia="楷体_GB2312" w:cs="楷体_GB2312"/>
          <w:b/>
          <w:color w:val="auto"/>
          <w:szCs w:val="24"/>
          <w:highlight w:val="none"/>
          <w:lang w:bidi="ar"/>
        </w:rPr>
        <w:t>第四条</w:t>
      </w:r>
      <w:r>
        <w:rPr>
          <w:rFonts w:hint="eastAsia" w:ascii="楷体_GB2312" w:hAnsi="楷体_GB2312" w:eastAsia="楷体_GB2312" w:cs="楷体_GB2312"/>
          <w:b/>
          <w:color w:val="auto"/>
          <w:szCs w:val="24"/>
          <w:highlight w:val="none"/>
          <w:lang w:val="en-US" w:eastAsia="zh-CN" w:bidi="ar"/>
        </w:rPr>
        <w:t xml:space="preserve">  </w:t>
      </w:r>
      <w:r>
        <w:rPr>
          <w:rFonts w:hint="eastAsia" w:ascii="仿宋_GB2312" w:hAnsi="仿宋_GB2312" w:cs="仿宋_GB2312"/>
          <w:color w:val="000000"/>
          <w:szCs w:val="32"/>
          <w:highlight w:val="none"/>
        </w:rPr>
        <w:t>本措施适用于</w:t>
      </w:r>
      <w:r>
        <w:rPr>
          <w:rFonts w:hint="eastAsia" w:ascii="仿宋_GB2312"/>
          <w:color w:val="000000"/>
          <w:highlight w:val="none"/>
        </w:rPr>
        <w:t>注册登记、税务关系</w:t>
      </w:r>
      <w:r>
        <w:rPr>
          <w:rFonts w:hint="eastAsia" w:ascii="仿宋_GB2312" w:hAnsi="仿宋_GB2312" w:cs="仿宋_GB2312"/>
          <w:highlight w:val="none"/>
          <w:lang w:eastAsia="zh-CN"/>
        </w:rPr>
        <w:t>及统计关系</w:t>
      </w:r>
      <w:r>
        <w:rPr>
          <w:rFonts w:hint="eastAsia" w:ascii="仿宋_GB2312" w:hAnsi="仿宋_GB2312" w:cs="仿宋_GB2312"/>
          <w:highlight w:val="none"/>
        </w:rPr>
        <w:t>在</w:t>
      </w:r>
      <w:r>
        <w:rPr>
          <w:rFonts w:hint="eastAsia" w:ascii="仿宋_GB2312"/>
          <w:color w:val="000000"/>
          <w:highlight w:val="none"/>
        </w:rPr>
        <w:t>南山区</w:t>
      </w:r>
      <w:r>
        <w:rPr>
          <w:rFonts w:hint="eastAsia" w:ascii="仿宋_GB2312" w:hAnsi="仿宋_GB2312" w:cs="仿宋_GB2312"/>
          <w:color w:val="000000"/>
          <w:szCs w:val="32"/>
          <w:highlight w:val="none"/>
        </w:rPr>
        <w:t>，且具有独立法人资格的企事业单位；</w:t>
      </w:r>
      <w:r>
        <w:rPr>
          <w:rFonts w:hint="eastAsia" w:ascii="仿宋_GB2312"/>
          <w:color w:val="000000"/>
          <w:highlight w:val="none"/>
        </w:rPr>
        <w:t>注册登记、税务关系</w:t>
      </w:r>
      <w:r>
        <w:rPr>
          <w:rFonts w:hint="eastAsia" w:ascii="仿宋_GB2312"/>
          <w:color w:val="000000"/>
          <w:highlight w:val="none"/>
          <w:lang w:eastAsia="zh-CN"/>
        </w:rPr>
        <w:t>、</w:t>
      </w:r>
      <w:r>
        <w:rPr>
          <w:rFonts w:hint="eastAsia" w:ascii="仿宋_GB2312" w:hAnsi="仿宋_GB2312" w:cs="仿宋_GB2312"/>
          <w:highlight w:val="none"/>
          <w:lang w:eastAsia="zh-CN"/>
        </w:rPr>
        <w:t>统计关系在南</w:t>
      </w:r>
      <w:r>
        <w:rPr>
          <w:rFonts w:hint="eastAsia" w:ascii="仿宋_GB2312"/>
          <w:color w:val="000000"/>
          <w:highlight w:val="none"/>
        </w:rPr>
        <w:t>山区，</w:t>
      </w:r>
      <w:r>
        <w:rPr>
          <w:rFonts w:hint="eastAsia" w:ascii="仿宋_GB2312" w:hAnsi="仿宋_GB2312" w:cs="仿宋_GB2312"/>
          <w:color w:val="000000"/>
          <w:szCs w:val="32"/>
          <w:highlight w:val="none"/>
        </w:rPr>
        <w:t>服务高新技术产业发展的行业协会、民办非企业等社会组织;注册登记在南山区且</w:t>
      </w:r>
      <w:r>
        <w:rPr>
          <w:rFonts w:hint="eastAsia" w:ascii="仿宋_GB2312" w:hAnsi="仿宋_GB2312" w:cs="仿宋_GB2312"/>
          <w:kern w:val="0"/>
          <w:szCs w:val="32"/>
          <w:highlight w:val="none"/>
        </w:rPr>
        <w:t>按国家统计局相关规定可视同法人单位的主体。</w:t>
      </w:r>
    </w:p>
    <w:p>
      <w:pPr>
        <w:spacing w:after="0" w:line="560" w:lineRule="exact"/>
        <w:ind w:firstLine="643" w:firstLineChars="200"/>
        <w:rPr>
          <w:rFonts w:ascii="仿宋_GB2312"/>
          <w:color w:val="000000"/>
          <w:szCs w:val="32"/>
          <w:highlight w:val="none"/>
        </w:rPr>
      </w:pPr>
      <w:r>
        <w:rPr>
          <w:rFonts w:hint="eastAsia" w:ascii="楷体_GB2312" w:hAnsi="楷体_GB2312" w:eastAsia="楷体_GB2312" w:cs="楷体_GB2312"/>
          <w:b/>
          <w:color w:val="auto"/>
          <w:szCs w:val="24"/>
          <w:highlight w:val="none"/>
          <w:lang w:bidi="ar"/>
        </w:rPr>
        <w:t xml:space="preserve">第五条  </w:t>
      </w:r>
      <w:r>
        <w:rPr>
          <w:rFonts w:hint="eastAsia" w:ascii="仿宋_GB2312" w:hAnsi="黑体"/>
          <w:color w:val="000000"/>
          <w:szCs w:val="32"/>
          <w:highlight w:val="none"/>
        </w:rPr>
        <w:t>本措施申报主体原则上应符合《南山区自主创新产业发展专项资金管理办法》及本措施规</w:t>
      </w:r>
      <w:r>
        <w:rPr>
          <w:rFonts w:hint="eastAsia" w:ascii="仿宋_GB2312"/>
          <w:color w:val="000000"/>
          <w:szCs w:val="32"/>
          <w:highlight w:val="none"/>
        </w:rPr>
        <w:t>定的</w:t>
      </w:r>
      <w:r>
        <w:rPr>
          <w:rFonts w:hint="eastAsia" w:ascii="仿宋_GB2312"/>
          <w:color w:val="000000"/>
          <w:szCs w:val="32"/>
          <w:highlight w:val="none"/>
          <w:lang w:eastAsia="zh-CN"/>
        </w:rPr>
        <w:t>“</w:t>
      </w:r>
      <w:r>
        <w:rPr>
          <w:rFonts w:hint="eastAsia" w:ascii="仿宋_GB2312"/>
          <w:color w:val="000000"/>
          <w:szCs w:val="32"/>
          <w:highlight w:val="none"/>
        </w:rPr>
        <w:t>注册地</w:t>
      </w:r>
      <w:r>
        <w:rPr>
          <w:rFonts w:hint="eastAsia" w:ascii="仿宋_GB2312"/>
          <w:color w:val="000000"/>
          <w:szCs w:val="32"/>
          <w:highlight w:val="none"/>
          <w:lang w:eastAsia="zh-CN"/>
        </w:rPr>
        <w:t>”“</w:t>
      </w:r>
      <w:r>
        <w:rPr>
          <w:rFonts w:hint="eastAsia" w:ascii="仿宋_GB2312"/>
          <w:color w:val="000000"/>
          <w:szCs w:val="32"/>
          <w:highlight w:val="none"/>
        </w:rPr>
        <w:t>税务关系</w:t>
      </w:r>
      <w:r>
        <w:rPr>
          <w:rFonts w:hint="eastAsia" w:ascii="仿宋_GB2312"/>
          <w:color w:val="000000"/>
          <w:szCs w:val="32"/>
          <w:highlight w:val="none"/>
          <w:lang w:eastAsia="zh-CN"/>
        </w:rPr>
        <w:t>”</w:t>
      </w:r>
      <w:r>
        <w:rPr>
          <w:rFonts w:hint="eastAsia" w:ascii="仿宋_GB2312" w:hAnsi="黑体" w:cs="Times New Roman"/>
          <w:color w:val="000000"/>
          <w:szCs w:val="32"/>
          <w:highlight w:val="none"/>
          <w:lang w:eastAsia="zh-CN"/>
        </w:rPr>
        <w:t>“统计关系”“</w:t>
      </w:r>
      <w:r>
        <w:rPr>
          <w:rFonts w:hint="eastAsia" w:ascii="仿宋_GB2312" w:hAnsi="黑体" w:cs="Times New Roman"/>
          <w:color w:val="000000"/>
          <w:szCs w:val="32"/>
          <w:highlight w:val="none"/>
        </w:rPr>
        <w:t>独立法</w:t>
      </w:r>
      <w:r>
        <w:rPr>
          <w:rFonts w:hint="eastAsia" w:ascii="仿宋_GB2312"/>
          <w:color w:val="000000"/>
          <w:szCs w:val="32"/>
          <w:highlight w:val="none"/>
        </w:rPr>
        <w:t>人</w:t>
      </w:r>
      <w:r>
        <w:rPr>
          <w:rFonts w:hint="eastAsia" w:ascii="仿宋_GB2312"/>
          <w:color w:val="000000"/>
          <w:szCs w:val="32"/>
          <w:highlight w:val="none"/>
          <w:lang w:eastAsia="zh-CN"/>
        </w:rPr>
        <w:t>”“</w:t>
      </w:r>
      <w:r>
        <w:rPr>
          <w:rFonts w:hint="eastAsia" w:ascii="仿宋_GB2312" w:hAnsi="仿宋_GB2312"/>
          <w:szCs w:val="32"/>
          <w:lang w:eastAsia="zh-CN"/>
        </w:rPr>
        <w:t>每家单位</w:t>
      </w:r>
      <w:r>
        <w:rPr>
          <w:rFonts w:hint="eastAsia" w:ascii="仿宋_GB2312" w:hAnsi="仿宋_GB2312"/>
          <w:szCs w:val="32"/>
        </w:rPr>
        <w:t>单个扶持项目资助金额原则上不得超过1000万元</w:t>
      </w:r>
      <w:r>
        <w:rPr>
          <w:rFonts w:hint="eastAsia" w:ascii="仿宋_GB2312"/>
          <w:color w:val="000000"/>
          <w:szCs w:val="32"/>
          <w:highlight w:val="none"/>
          <w:lang w:eastAsia="zh-CN"/>
        </w:rPr>
        <w:t>”“区级</w:t>
      </w:r>
      <w:r>
        <w:rPr>
          <w:rFonts w:hint="eastAsia" w:ascii="仿宋_GB2312"/>
          <w:color w:val="000000"/>
          <w:szCs w:val="32"/>
          <w:highlight w:val="none"/>
        </w:rPr>
        <w:t>地方财力贡献</w:t>
      </w:r>
      <w:r>
        <w:rPr>
          <w:rFonts w:hint="eastAsia" w:ascii="仿宋_GB2312"/>
          <w:color w:val="000000"/>
          <w:szCs w:val="32"/>
          <w:highlight w:val="none"/>
          <w:lang w:eastAsia="zh-CN"/>
        </w:rPr>
        <w:t>”</w:t>
      </w:r>
      <w:r>
        <w:rPr>
          <w:rFonts w:hint="eastAsia" w:ascii="仿宋_GB2312"/>
          <w:color w:val="000000"/>
          <w:szCs w:val="32"/>
          <w:highlight w:val="none"/>
        </w:rPr>
        <w:t>等相关条件，以下情形除外：</w:t>
      </w:r>
    </w:p>
    <w:p>
      <w:pPr>
        <w:spacing w:after="0" w:line="560" w:lineRule="exact"/>
        <w:ind w:firstLine="640" w:firstLineChars="200"/>
        <w:rPr>
          <w:rFonts w:hint="eastAsia" w:ascii="仿宋_GB2312" w:hAnsi="Times New Roman" w:cs="Times New Roman"/>
          <w:color w:val="000000"/>
          <w:szCs w:val="32"/>
          <w:highlight w:val="none"/>
          <w:lang w:eastAsia="zh-CN"/>
        </w:rPr>
      </w:pPr>
      <w:r>
        <w:rPr>
          <w:rFonts w:hint="eastAsia" w:ascii="仿宋_GB2312" w:hAnsi="仿宋_GB2312" w:cs="仿宋_GB2312"/>
          <w:kern w:val="0"/>
          <w:szCs w:val="32"/>
          <w:highlight w:val="none"/>
        </w:rPr>
        <w:t>（一）申报军民融合服务机构、仪器开放共享、科学技术奖励、知识产权保护工作站等支持计划的主体均可不受</w:t>
      </w:r>
      <w:r>
        <w:rPr>
          <w:rFonts w:hint="eastAsia" w:ascii="仿宋_GB2312" w:hAnsi="黑体"/>
          <w:color w:val="000000"/>
          <w:szCs w:val="32"/>
          <w:highlight w:val="none"/>
        </w:rPr>
        <w:t>《南山区自主创新产业发展专项资金管理办法》</w:t>
      </w:r>
      <w:r>
        <w:rPr>
          <w:rFonts w:hint="eastAsia" w:ascii="仿宋_GB2312" w:hAnsi="黑体"/>
          <w:color w:val="000000"/>
          <w:szCs w:val="32"/>
          <w:highlight w:val="none"/>
          <w:lang w:eastAsia="zh-CN"/>
        </w:rPr>
        <w:t>规定的“</w:t>
      </w:r>
      <w:r>
        <w:rPr>
          <w:rFonts w:hint="eastAsia" w:ascii="仿宋_GB2312" w:hAnsi="仿宋_GB2312" w:cs="仿宋_GB2312"/>
          <w:kern w:val="0"/>
          <w:szCs w:val="32"/>
          <w:highlight w:val="none"/>
        </w:rPr>
        <w:t>独立法人</w:t>
      </w:r>
      <w:r>
        <w:rPr>
          <w:rFonts w:hint="eastAsia" w:ascii="仿宋_GB2312" w:hAnsi="黑体"/>
          <w:color w:val="000000"/>
          <w:szCs w:val="32"/>
          <w:highlight w:val="none"/>
          <w:lang w:eastAsia="zh-CN"/>
        </w:rPr>
        <w:t>”</w:t>
      </w:r>
      <w:r>
        <w:rPr>
          <w:rFonts w:hint="eastAsia" w:ascii="仿宋_GB2312" w:hAnsi="仿宋_GB2312" w:cs="仿宋_GB2312"/>
          <w:kern w:val="0"/>
          <w:szCs w:val="32"/>
          <w:highlight w:val="none"/>
        </w:rPr>
        <w:t>资格条件限制；申报中国创新创业大赛、知识产权服务机构、重大科技创新活动等支持计划的主体均可不受</w:t>
      </w:r>
      <w:r>
        <w:rPr>
          <w:rFonts w:hint="eastAsia" w:ascii="仿宋_GB2312" w:hAnsi="黑体"/>
          <w:color w:val="000000"/>
          <w:szCs w:val="32"/>
          <w:highlight w:val="none"/>
        </w:rPr>
        <w:t>《南山区自主创新产业发展专项资金管理办法》</w:t>
      </w:r>
      <w:r>
        <w:rPr>
          <w:rFonts w:hint="eastAsia" w:ascii="仿宋_GB2312" w:hAnsi="黑体"/>
          <w:color w:val="000000"/>
          <w:szCs w:val="32"/>
          <w:highlight w:val="none"/>
          <w:lang w:eastAsia="zh-CN"/>
        </w:rPr>
        <w:t>规定的“</w:t>
      </w:r>
      <w:r>
        <w:rPr>
          <w:rFonts w:hint="eastAsia" w:ascii="仿宋_GB2312" w:hAnsi="仿宋_GB2312" w:cs="仿宋_GB2312"/>
          <w:kern w:val="0"/>
          <w:szCs w:val="32"/>
          <w:highlight w:val="none"/>
        </w:rPr>
        <w:t>注册地</w:t>
      </w:r>
      <w:r>
        <w:rPr>
          <w:rFonts w:hint="eastAsia" w:ascii="仿宋_GB2312" w:hAnsi="黑体"/>
          <w:color w:val="000000"/>
          <w:szCs w:val="32"/>
          <w:highlight w:val="none"/>
          <w:lang w:eastAsia="zh-CN"/>
        </w:rPr>
        <w:t>”“</w:t>
      </w:r>
      <w:r>
        <w:rPr>
          <w:rFonts w:hint="eastAsia" w:ascii="仿宋_GB2312" w:hAnsi="仿宋_GB2312" w:cs="仿宋_GB2312"/>
          <w:kern w:val="0"/>
          <w:szCs w:val="32"/>
          <w:highlight w:val="none"/>
        </w:rPr>
        <w:t>税务关系</w:t>
      </w:r>
      <w:r>
        <w:rPr>
          <w:rFonts w:hint="eastAsia" w:ascii="仿宋_GB2312" w:hAnsi="Times New Roman" w:cs="Times New Roman"/>
          <w:color w:val="000000"/>
          <w:szCs w:val="32"/>
          <w:highlight w:val="none"/>
          <w:lang w:eastAsia="zh-CN"/>
        </w:rPr>
        <w:t>”“统计关系”“独立法人”资格条件限制；按国家统计局相关规定可视同法人单位的主体可不受《南山区自主创新产业发展专项资金管理办法》规定的“税务关系”“统计关系”“独立法人”资格条件限制。</w:t>
      </w:r>
    </w:p>
    <w:p>
      <w:pPr>
        <w:spacing w:after="0" w:line="560" w:lineRule="exact"/>
        <w:ind w:firstLine="640" w:firstLineChars="200"/>
        <w:rPr>
          <w:rFonts w:hint="default" w:ascii="仿宋_GB2312" w:hAnsi="Times New Roman" w:cs="Times New Roman"/>
          <w:color w:val="000000"/>
          <w:szCs w:val="32"/>
          <w:highlight w:val="none"/>
          <w:lang w:val="en-US" w:eastAsia="zh-CN"/>
        </w:rPr>
      </w:pPr>
      <w:r>
        <w:rPr>
          <w:rFonts w:hint="eastAsia" w:ascii="仿宋_GB2312" w:hAnsi="Times New Roman" w:cs="Times New Roman"/>
          <w:color w:val="000000"/>
          <w:szCs w:val="32"/>
          <w:highlight w:val="none"/>
          <w:lang w:eastAsia="zh-CN"/>
        </w:rPr>
        <w:t>（二）</w:t>
      </w:r>
      <w:r>
        <w:rPr>
          <w:rFonts w:hint="eastAsia" w:ascii="仿宋_GB2312" w:hAnsi="Times New Roman" w:cs="Times New Roman"/>
          <w:color w:val="000000"/>
          <w:szCs w:val="32"/>
          <w:highlight w:val="none"/>
          <w:lang w:val="en-US" w:eastAsia="zh-CN"/>
        </w:rPr>
        <w:t>申报</w:t>
      </w:r>
      <w:r>
        <w:rPr>
          <w:rFonts w:hint="eastAsia" w:ascii="仿宋_GB2312" w:hAnsi="Times New Roman" w:cs="Times New Roman"/>
          <w:color w:val="000000"/>
          <w:szCs w:val="32"/>
          <w:highlight w:val="none"/>
          <w:lang w:eastAsia="zh-CN"/>
        </w:rPr>
        <w:t>技术创新中心建设、公共服务平台建设、创新研发机构建设、新一代信息技术应用创新中心、国家联合创新基金、科技人才创新创业等支持计划的项目</w:t>
      </w:r>
      <w:r>
        <w:rPr>
          <w:rFonts w:hint="eastAsia" w:ascii="仿宋_GB2312" w:hAnsi="Times New Roman" w:cs="Times New Roman"/>
          <w:color w:val="000000"/>
          <w:szCs w:val="32"/>
          <w:highlight w:val="none"/>
          <w:lang w:val="en-US" w:eastAsia="zh-CN"/>
        </w:rPr>
        <w:t>不受</w:t>
      </w:r>
      <w:r>
        <w:rPr>
          <w:rFonts w:hint="eastAsia" w:ascii="仿宋_GB2312" w:hAnsi="Times New Roman" w:cs="Times New Roman"/>
          <w:color w:val="000000"/>
          <w:szCs w:val="32"/>
          <w:highlight w:val="none"/>
          <w:lang w:eastAsia="zh-CN"/>
        </w:rPr>
        <w:t>《南山区自主创新产业发展专项资金管理办法》规定的</w:t>
      </w:r>
      <w:r>
        <w:rPr>
          <w:rFonts w:hint="eastAsia" w:ascii="仿宋_GB2312" w:hAnsi="Times New Roman" w:cs="Times New Roman"/>
          <w:color w:val="000000"/>
          <w:szCs w:val="32"/>
          <w:highlight w:val="none"/>
          <w:lang w:val="en-US" w:eastAsia="zh-CN"/>
        </w:rPr>
        <w:t>“</w:t>
      </w:r>
      <w:r>
        <w:rPr>
          <w:rFonts w:hint="eastAsia" w:ascii="仿宋_GB2312" w:hAnsi="Times New Roman" w:cs="Times New Roman"/>
          <w:color w:val="000000"/>
          <w:szCs w:val="32"/>
          <w:highlight w:val="none"/>
          <w:lang w:eastAsia="zh-CN"/>
        </w:rPr>
        <w:t>每家单位单个扶持项目资助金额原则上不得超过1000万元</w:t>
      </w:r>
      <w:r>
        <w:rPr>
          <w:rFonts w:hint="eastAsia" w:ascii="仿宋_GB2312" w:hAnsi="Times New Roman" w:cs="Times New Roman"/>
          <w:color w:val="000000"/>
          <w:szCs w:val="32"/>
          <w:highlight w:val="none"/>
          <w:lang w:val="en-US" w:eastAsia="zh-CN"/>
        </w:rPr>
        <w:t>”总量控制限制。</w:t>
      </w:r>
    </w:p>
    <w:p>
      <w:pPr>
        <w:spacing w:after="0" w:line="560" w:lineRule="exact"/>
        <w:ind w:firstLine="640" w:firstLineChars="200"/>
        <w:rPr>
          <w:rFonts w:ascii="仿宋_GB2312" w:hAnsi="仿宋_GB2312" w:cs="仿宋_GB2312"/>
          <w:kern w:val="0"/>
          <w:szCs w:val="32"/>
          <w:highlight w:val="none"/>
        </w:rPr>
      </w:pPr>
      <w:r>
        <w:rPr>
          <w:rFonts w:hint="eastAsia" w:ascii="仿宋_GB2312" w:hAnsi="仿宋_GB2312" w:cs="仿宋_GB2312"/>
          <w:kern w:val="0"/>
          <w:szCs w:val="32"/>
          <w:highlight w:val="none"/>
        </w:rPr>
        <w:t>（</w:t>
      </w:r>
      <w:r>
        <w:rPr>
          <w:rFonts w:hint="eastAsia" w:ascii="仿宋_GB2312" w:hAnsi="仿宋_GB2312" w:cs="仿宋_GB2312"/>
          <w:kern w:val="0"/>
          <w:szCs w:val="32"/>
          <w:highlight w:val="none"/>
          <w:lang w:eastAsia="zh-CN"/>
        </w:rPr>
        <w:t>三</w:t>
      </w:r>
      <w:r>
        <w:rPr>
          <w:rFonts w:hint="eastAsia" w:ascii="仿宋_GB2312" w:hAnsi="仿宋_GB2312" w:cs="仿宋_GB2312"/>
          <w:kern w:val="0"/>
          <w:szCs w:val="32"/>
          <w:highlight w:val="none"/>
        </w:rPr>
        <w:t>）申报技术创新中心建设、公共服务平台建设、</w:t>
      </w:r>
      <w:r>
        <w:rPr>
          <w:rFonts w:ascii="仿宋_GB2312" w:hAnsi="仿宋_GB2312" w:cs="仿宋_GB2312"/>
          <w:kern w:val="0"/>
          <w:szCs w:val="32"/>
          <w:highlight w:val="none"/>
        </w:rPr>
        <w:t>创新</w:t>
      </w:r>
      <w:r>
        <w:rPr>
          <w:rFonts w:hint="eastAsia" w:ascii="仿宋_GB2312" w:hAnsi="仿宋_GB2312" w:cs="仿宋_GB2312"/>
          <w:kern w:val="0"/>
          <w:szCs w:val="32"/>
          <w:highlight w:val="none"/>
        </w:rPr>
        <w:t>研发机构建设、技术攻关联合、企业研发投入、高成长性国高</w:t>
      </w:r>
      <w:r>
        <w:rPr>
          <w:rFonts w:hint="default" w:ascii="仿宋_GB2312" w:hAnsi="仿宋_GB2312" w:cs="仿宋_GB2312"/>
          <w:kern w:val="0"/>
          <w:szCs w:val="32"/>
          <w:highlight w:val="none"/>
        </w:rPr>
        <w:t>、</w:t>
      </w:r>
      <w:r>
        <w:rPr>
          <w:rFonts w:hint="eastAsia" w:ascii="仿宋_GB2312" w:hAnsi="仿宋_GB2312" w:cs="仿宋_GB2312"/>
          <w:kern w:val="0"/>
          <w:szCs w:val="32"/>
          <w:highlight w:val="none"/>
        </w:rPr>
        <w:t>军民融合领域、信创生态建设等支持计划及成果转化体系建设、育成</w:t>
      </w:r>
      <w:r>
        <w:rPr>
          <w:rFonts w:hint="eastAsia" w:ascii="仿宋_GB2312" w:hAnsi="仿宋_GB2312" w:cs="仿宋_GB2312"/>
          <w:kern w:val="0"/>
          <w:szCs w:val="32"/>
          <w:highlight w:val="none"/>
          <w:lang w:eastAsia="zh-CN"/>
        </w:rPr>
        <w:t>示范</w:t>
      </w:r>
      <w:r>
        <w:rPr>
          <w:rFonts w:hint="eastAsia" w:ascii="仿宋_GB2312" w:hAnsi="仿宋_GB2312" w:cs="仿宋_GB2312"/>
          <w:kern w:val="0"/>
          <w:szCs w:val="32"/>
          <w:highlight w:val="none"/>
        </w:rPr>
        <w:t>体系建设等专项的主体不受</w:t>
      </w:r>
      <w:r>
        <w:rPr>
          <w:rFonts w:hint="eastAsia" w:ascii="仿宋_GB2312" w:hAnsi="黑体"/>
          <w:color w:val="000000"/>
          <w:szCs w:val="32"/>
          <w:highlight w:val="none"/>
        </w:rPr>
        <w:t>《南山区自主创新产业发展专项资金管理办法》</w:t>
      </w:r>
      <w:r>
        <w:rPr>
          <w:rFonts w:hint="eastAsia" w:ascii="仿宋_GB2312" w:hAnsi="黑体"/>
          <w:color w:val="000000"/>
          <w:szCs w:val="32"/>
          <w:highlight w:val="none"/>
          <w:lang w:eastAsia="zh-CN"/>
        </w:rPr>
        <w:t>规定的“</w:t>
      </w:r>
      <w:r>
        <w:rPr>
          <w:rFonts w:hint="eastAsia" w:ascii="仿宋_GB2312" w:hAnsi="仿宋_GB2312" w:cs="仿宋_GB2312"/>
          <w:kern w:val="0"/>
          <w:szCs w:val="32"/>
          <w:highlight w:val="none"/>
        </w:rPr>
        <w:t>区级</w:t>
      </w:r>
      <w:r>
        <w:rPr>
          <w:rFonts w:hint="eastAsia" w:ascii="仿宋_GB2312" w:hAnsi="仿宋_GB2312" w:cs="仿宋_GB2312"/>
          <w:kern w:val="0"/>
          <w:szCs w:val="32"/>
          <w:highlight w:val="none"/>
          <w:lang w:eastAsia="zh-CN"/>
        </w:rPr>
        <w:t>地方</w:t>
      </w:r>
      <w:r>
        <w:rPr>
          <w:rFonts w:hint="eastAsia" w:ascii="仿宋_GB2312" w:hAnsi="仿宋_GB2312" w:cs="仿宋_GB2312"/>
          <w:kern w:val="0"/>
          <w:szCs w:val="32"/>
          <w:highlight w:val="none"/>
        </w:rPr>
        <w:t>财力贡献</w:t>
      </w:r>
      <w:r>
        <w:rPr>
          <w:rFonts w:hint="eastAsia" w:ascii="仿宋_GB2312" w:hAnsi="黑体"/>
          <w:color w:val="000000"/>
          <w:szCs w:val="32"/>
          <w:highlight w:val="none"/>
          <w:lang w:eastAsia="zh-CN"/>
        </w:rPr>
        <w:t>”</w:t>
      </w:r>
      <w:r>
        <w:rPr>
          <w:rFonts w:hint="eastAsia" w:ascii="仿宋_GB2312" w:hAnsi="仿宋_GB2312" w:cs="仿宋_GB2312"/>
          <w:kern w:val="0"/>
          <w:szCs w:val="32"/>
          <w:highlight w:val="none"/>
        </w:rPr>
        <w:t>限制。</w:t>
      </w:r>
    </w:p>
    <w:p>
      <w:pPr>
        <w:spacing w:after="0" w:line="560" w:lineRule="exact"/>
        <w:rPr>
          <w:rFonts w:ascii="仿宋_GB2312"/>
          <w:color w:val="000000"/>
          <w:szCs w:val="32"/>
          <w:highlight w:val="none"/>
        </w:rPr>
      </w:pPr>
    </w:p>
    <w:p>
      <w:pPr>
        <w:spacing w:after="0" w:line="560" w:lineRule="exact"/>
        <w:jc w:val="center"/>
        <w:outlineLvl w:val="0"/>
        <w:rPr>
          <w:rFonts w:ascii="黑体" w:eastAsia="黑体"/>
          <w:color w:val="000000"/>
          <w:szCs w:val="32"/>
          <w:highlight w:val="none"/>
        </w:rPr>
      </w:pPr>
      <w:bookmarkStart w:id="176" w:name="_Toc102533946"/>
      <w:bookmarkStart w:id="177" w:name="_Toc26071"/>
      <w:bookmarkStart w:id="178" w:name="_Toc11136"/>
      <w:bookmarkStart w:id="179" w:name="_Toc20741"/>
      <w:bookmarkStart w:id="180" w:name="_Toc28450"/>
      <w:bookmarkStart w:id="181" w:name="_Toc32098"/>
      <w:bookmarkStart w:id="182" w:name="_Toc1707"/>
      <w:bookmarkStart w:id="183" w:name="_Toc3138"/>
      <w:bookmarkStart w:id="184" w:name="_Toc32386"/>
      <w:bookmarkStart w:id="185" w:name="_Toc3210"/>
      <w:bookmarkStart w:id="186" w:name="_Toc5908"/>
      <w:bookmarkStart w:id="187" w:name="_Toc26553"/>
      <w:bookmarkStart w:id="188" w:name="_Toc26730"/>
      <w:bookmarkStart w:id="189" w:name="_Toc10188"/>
      <w:r>
        <w:rPr>
          <w:rFonts w:hint="eastAsia" w:ascii="黑体" w:eastAsia="黑体"/>
          <w:color w:val="000000"/>
          <w:szCs w:val="32"/>
          <w:highlight w:val="none"/>
        </w:rPr>
        <w:t>第二章  创新平台体系</w:t>
      </w:r>
      <w:r>
        <w:rPr>
          <w:rFonts w:ascii="黑体" w:eastAsia="黑体"/>
          <w:color w:val="000000"/>
          <w:szCs w:val="32"/>
          <w:highlight w:val="none"/>
        </w:rPr>
        <w:t>建设</w:t>
      </w:r>
      <w:r>
        <w:rPr>
          <w:rFonts w:hint="eastAsia" w:ascii="黑体" w:eastAsia="黑体"/>
          <w:color w:val="000000"/>
          <w:szCs w:val="32"/>
          <w:highlight w:val="none"/>
        </w:rPr>
        <w:t>专项</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spacing w:after="0" w:line="560" w:lineRule="exact"/>
        <w:ind w:firstLine="707" w:firstLineChars="221"/>
        <w:rPr>
          <w:rFonts w:ascii="仿宋_GB2312" w:hAnsi="宋体"/>
          <w:color w:val="000000"/>
          <w:szCs w:val="32"/>
          <w:highlight w:val="none"/>
        </w:rPr>
      </w:pPr>
    </w:p>
    <w:p>
      <w:pPr>
        <w:adjustRightInd/>
        <w:snapToGrid/>
        <w:spacing w:after="0" w:line="560" w:lineRule="exact"/>
        <w:ind w:firstLine="643" w:firstLineChars="200"/>
        <w:outlineLvl w:val="9"/>
        <w:rPr>
          <w:rFonts w:hint="eastAsia" w:ascii="楷体_GB2312" w:hAnsi="楷体_GB2312" w:eastAsia="楷体_GB2312" w:cs="楷体_GB2312"/>
          <w:b/>
          <w:bCs w:val="0"/>
          <w:color w:val="auto"/>
          <w:szCs w:val="24"/>
          <w:highlight w:val="none"/>
          <w:lang w:bidi="ar"/>
        </w:rPr>
      </w:pPr>
      <w:bookmarkStart w:id="190" w:name="_Toc14908"/>
      <w:bookmarkStart w:id="191" w:name="_Toc26930"/>
      <w:bookmarkStart w:id="192" w:name="_Toc4461"/>
      <w:bookmarkStart w:id="193" w:name="_Toc7477"/>
      <w:bookmarkStart w:id="194" w:name="_Toc1604745891"/>
      <w:bookmarkStart w:id="195" w:name="_Toc12114"/>
      <w:bookmarkStart w:id="196" w:name="_Toc26728"/>
      <w:bookmarkStart w:id="197" w:name="_Toc2235"/>
      <w:bookmarkStart w:id="198" w:name="_Toc980"/>
      <w:bookmarkStart w:id="199" w:name="_Toc756"/>
      <w:bookmarkStart w:id="200" w:name="_Toc24275"/>
      <w:bookmarkStart w:id="201" w:name="_Toc4207"/>
      <w:r>
        <w:rPr>
          <w:rFonts w:hint="eastAsia" w:ascii="楷体_GB2312" w:hAnsi="楷体_GB2312" w:eastAsia="楷体_GB2312" w:cs="楷体_GB2312"/>
          <w:b/>
          <w:bCs w:val="0"/>
          <w:color w:val="auto"/>
          <w:szCs w:val="24"/>
          <w:highlight w:val="none"/>
          <w:lang w:bidi="ar"/>
        </w:rPr>
        <w:t>第六条  技术创新中心建设支持计划</w:t>
      </w:r>
      <w:bookmarkEnd w:id="190"/>
      <w:bookmarkEnd w:id="191"/>
      <w:bookmarkEnd w:id="192"/>
      <w:bookmarkEnd w:id="193"/>
      <w:bookmarkEnd w:id="194"/>
      <w:bookmarkEnd w:id="195"/>
      <w:bookmarkEnd w:id="196"/>
      <w:bookmarkEnd w:id="197"/>
      <w:bookmarkEnd w:id="198"/>
      <w:bookmarkEnd w:id="199"/>
      <w:bookmarkEnd w:id="200"/>
      <w:bookmarkEnd w:id="201"/>
    </w:p>
    <w:p>
      <w:pPr>
        <w:pStyle w:val="11"/>
        <w:widowControl/>
        <w:adjustRightInd w:val="0"/>
        <w:snapToGrid w:val="0"/>
        <w:spacing w:beforeAutospacing="0" w:after="0" w:afterAutospacing="0" w:line="560" w:lineRule="exact"/>
        <w:ind w:firstLine="640" w:firstLineChars="200"/>
        <w:jc w:val="both"/>
        <w:rPr>
          <w:rFonts w:ascii="仿宋_GB2312" w:hAnsi="仿宋_GB2312" w:cs="仿宋_GB2312"/>
          <w:sz w:val="32"/>
          <w:szCs w:val="32"/>
          <w:highlight w:val="none"/>
        </w:rPr>
      </w:pPr>
      <w:r>
        <w:rPr>
          <w:rFonts w:ascii="仿宋_GB2312" w:hAnsi="仿宋_GB2312" w:cs="仿宋_GB2312"/>
          <w:sz w:val="32"/>
          <w:szCs w:val="32"/>
          <w:highlight w:val="none"/>
        </w:rPr>
        <w:t>支持国家技术创新中心、国家技术创新中心分中心、省级技术创新中心建设，按照项目获得市级及以上主管部门资助总额的50%给予资助，每个项目</w:t>
      </w:r>
      <w:r>
        <w:rPr>
          <w:rFonts w:hint="eastAsia" w:ascii="仿宋_GB2312" w:hAnsi="仿宋_GB2312" w:cs="仿宋_GB2312"/>
          <w:sz w:val="32"/>
          <w:szCs w:val="32"/>
          <w:highlight w:val="none"/>
        </w:rPr>
        <w:t>给予最高1亿元资助。</w:t>
      </w:r>
    </w:p>
    <w:p>
      <w:pPr>
        <w:spacing w:after="0" w:line="560" w:lineRule="exact"/>
        <w:ind w:firstLine="643" w:firstLineChars="200"/>
        <w:outlineLvl w:val="9"/>
        <w:rPr>
          <w:rFonts w:hint="eastAsia" w:ascii="楷体_GB2312" w:hAnsi="楷体_GB2312" w:eastAsia="楷体_GB2312" w:cs="楷体_GB2312"/>
          <w:b/>
          <w:bCs w:val="0"/>
          <w:color w:val="auto"/>
          <w:szCs w:val="24"/>
          <w:highlight w:val="none"/>
          <w:lang w:bidi="ar"/>
        </w:rPr>
      </w:pPr>
      <w:bookmarkStart w:id="202" w:name="_Toc721581912"/>
      <w:r>
        <w:rPr>
          <w:rFonts w:hint="eastAsia" w:ascii="楷体_GB2312" w:hAnsi="楷体_GB2312" w:eastAsia="楷体_GB2312" w:cs="楷体_GB2312"/>
          <w:b/>
          <w:bCs w:val="0"/>
          <w:color w:val="auto"/>
          <w:szCs w:val="24"/>
          <w:highlight w:val="none"/>
          <w:lang w:bidi="ar"/>
        </w:rPr>
        <w:t>第七条  公共服务平台建设支持计划</w:t>
      </w:r>
      <w:bookmarkEnd w:id="202"/>
    </w:p>
    <w:p>
      <w:pPr>
        <w:pStyle w:val="11"/>
        <w:widowControl/>
        <w:adjustRightInd w:val="0"/>
        <w:snapToGrid w:val="0"/>
        <w:spacing w:beforeAutospacing="0" w:after="0" w:afterAutospacing="0" w:line="560" w:lineRule="exact"/>
        <w:ind w:firstLine="640" w:firstLineChars="200"/>
        <w:jc w:val="both"/>
        <w:rPr>
          <w:rFonts w:ascii="仿宋_GB2312" w:hAnsi="仿宋_GB2312" w:cs="仿宋_GB2312"/>
          <w:sz w:val="32"/>
          <w:szCs w:val="32"/>
          <w:highlight w:val="none"/>
        </w:rPr>
      </w:pPr>
      <w:r>
        <w:rPr>
          <w:rFonts w:hint="eastAsia" w:ascii="仿宋_GB2312" w:hAnsi="仿宋_GB2312" w:cs="仿宋_GB2312"/>
          <w:sz w:val="32"/>
          <w:szCs w:val="32"/>
          <w:highlight w:val="none"/>
        </w:rPr>
        <w:t>支持科技公共服务平台建设，</w:t>
      </w:r>
      <w:r>
        <w:rPr>
          <w:rFonts w:hint="eastAsia" w:ascii="仿宋_GB2312" w:hAnsi="仿宋_GB2312" w:cs="仿宋_GB2312"/>
          <w:sz w:val="32"/>
          <w:szCs w:val="32"/>
          <w:highlight w:val="none"/>
          <w:lang w:eastAsia="zh-Hans"/>
        </w:rPr>
        <w:t>对</w:t>
      </w:r>
      <w:r>
        <w:rPr>
          <w:rFonts w:hint="eastAsia" w:ascii="仿宋_GB2312" w:hAnsi="仿宋_GB2312" w:cs="仿宋_GB2312"/>
          <w:sz w:val="32"/>
          <w:szCs w:val="32"/>
          <w:highlight w:val="none"/>
        </w:rPr>
        <w:t>围绕</w:t>
      </w:r>
      <w:r>
        <w:rPr>
          <w:rFonts w:hint="default" w:ascii="仿宋_GB2312" w:hAnsi="仿宋_GB2312" w:cs="仿宋_GB2312"/>
          <w:sz w:val="32"/>
          <w:szCs w:val="32"/>
          <w:highlight w:val="none"/>
        </w:rPr>
        <w:t>生命科技</w:t>
      </w:r>
      <w:r>
        <w:rPr>
          <w:rFonts w:ascii="仿宋_GB2312" w:hAnsi="仿宋_GB2312" w:cs="仿宋_GB2312"/>
          <w:sz w:val="32"/>
          <w:szCs w:val="32"/>
          <w:highlight w:val="none"/>
        </w:rPr>
        <w:t>、集成电路</w:t>
      </w:r>
      <w:r>
        <w:rPr>
          <w:rFonts w:ascii="仿宋_GB2312" w:hAnsi="仿宋_GB2312" w:cs="仿宋_GB2312"/>
          <w:sz w:val="32"/>
          <w:szCs w:val="32"/>
          <w:highlight w:val="none"/>
          <w:lang w:eastAsia="zh-Hans"/>
        </w:rPr>
        <w:t>等重点</w:t>
      </w:r>
      <w:r>
        <w:rPr>
          <w:rFonts w:hint="eastAsia" w:ascii="仿宋_GB2312" w:hAnsi="仿宋_GB2312" w:cs="仿宋_GB2312"/>
          <w:sz w:val="32"/>
          <w:szCs w:val="32"/>
          <w:highlight w:val="none"/>
          <w:lang w:eastAsia="zh-Hans"/>
        </w:rPr>
        <w:t>产业</w:t>
      </w:r>
      <w:r>
        <w:rPr>
          <w:rFonts w:hint="eastAsia" w:ascii="仿宋_GB2312" w:hAnsi="仿宋_GB2312" w:cs="仿宋_GB2312"/>
          <w:sz w:val="32"/>
          <w:szCs w:val="32"/>
          <w:highlight w:val="none"/>
        </w:rPr>
        <w:t>发展</w:t>
      </w:r>
      <w:r>
        <w:rPr>
          <w:rFonts w:hint="eastAsia" w:ascii="仿宋_GB2312" w:hAnsi="仿宋_GB2312" w:cs="仿宋_GB2312"/>
          <w:sz w:val="32"/>
          <w:szCs w:val="32"/>
          <w:highlight w:val="none"/>
          <w:lang w:eastAsia="zh-Hans"/>
        </w:rPr>
        <w:t>领域的</w:t>
      </w:r>
      <w:r>
        <w:rPr>
          <w:rFonts w:hint="eastAsia" w:ascii="仿宋_GB2312" w:hAnsi="仿宋_GB2312" w:cs="仿宋_GB2312"/>
          <w:sz w:val="32"/>
          <w:szCs w:val="32"/>
          <w:highlight w:val="none"/>
        </w:rPr>
        <w:t>技术研发和成果转化</w:t>
      </w:r>
      <w:r>
        <w:rPr>
          <w:rFonts w:hint="eastAsia" w:ascii="仿宋_GB2312" w:hAnsi="仿宋_GB2312" w:cs="仿宋_GB2312"/>
          <w:sz w:val="32"/>
          <w:szCs w:val="32"/>
          <w:highlight w:val="none"/>
          <w:lang w:eastAsia="zh-Hans"/>
        </w:rPr>
        <w:t>共性</w:t>
      </w:r>
      <w:r>
        <w:rPr>
          <w:rFonts w:hint="eastAsia" w:ascii="仿宋_GB2312" w:hAnsi="仿宋_GB2312" w:cs="仿宋_GB2312"/>
          <w:sz w:val="32"/>
          <w:szCs w:val="32"/>
          <w:highlight w:val="none"/>
        </w:rPr>
        <w:t>服务需求</w:t>
      </w:r>
      <w:r>
        <w:rPr>
          <w:rFonts w:hint="eastAsia" w:ascii="仿宋_GB2312" w:hAnsi="仿宋_GB2312" w:cs="仿宋_GB2312"/>
          <w:sz w:val="32"/>
          <w:szCs w:val="32"/>
          <w:highlight w:val="none"/>
          <w:lang w:eastAsia="zh-Hans"/>
        </w:rPr>
        <w:t>，</w:t>
      </w:r>
      <w:r>
        <w:rPr>
          <w:rFonts w:ascii="仿宋_GB2312" w:hAnsi="仿宋_GB2312" w:cs="仿宋_GB2312"/>
          <w:sz w:val="32"/>
          <w:szCs w:val="32"/>
          <w:highlight w:val="none"/>
        </w:rPr>
        <w:t>提供</w:t>
      </w:r>
      <w:r>
        <w:rPr>
          <w:rFonts w:hint="eastAsia" w:ascii="仿宋_GB2312" w:hAnsi="仿宋_GB2312" w:cs="仿宋_GB2312"/>
          <w:sz w:val="32"/>
          <w:szCs w:val="32"/>
          <w:highlight w:val="none"/>
        </w:rPr>
        <w:t>临床转化、生物医药安全评价、CRO（合同研究组织）、CDMO（合同研发生产组织）、设计服务、</w:t>
      </w:r>
      <w:r>
        <w:rPr>
          <w:rFonts w:hint="eastAsia" w:ascii="仿宋_GB2312" w:hAnsi="仿宋_GB2312" w:cs="仿宋_GB2312"/>
          <w:sz w:val="32"/>
          <w:szCs w:val="32"/>
          <w:highlight w:val="none"/>
          <w:lang w:eastAsia="zh-Hans"/>
        </w:rPr>
        <w:t>产品打样</w:t>
      </w:r>
      <w:r>
        <w:rPr>
          <w:rFonts w:hint="eastAsia" w:ascii="仿宋_GB2312" w:hAnsi="仿宋_GB2312" w:cs="仿宋_GB2312"/>
          <w:sz w:val="32"/>
          <w:szCs w:val="32"/>
          <w:highlight w:val="none"/>
        </w:rPr>
        <w:t>、</w:t>
      </w:r>
      <w:r>
        <w:rPr>
          <w:rFonts w:hint="eastAsia" w:ascii="仿宋_GB2312" w:hAnsi="仿宋_GB2312" w:cs="仿宋_GB2312"/>
          <w:sz w:val="32"/>
          <w:szCs w:val="32"/>
          <w:highlight w:val="none"/>
          <w:lang w:eastAsia="zh-Hans"/>
        </w:rPr>
        <w:t>中试熟化、</w:t>
      </w:r>
      <w:r>
        <w:rPr>
          <w:rFonts w:hint="eastAsia" w:ascii="仿宋_GB2312" w:hAnsi="仿宋_GB2312" w:cs="仿宋_GB2312"/>
          <w:sz w:val="32"/>
          <w:szCs w:val="32"/>
          <w:highlight w:val="none"/>
        </w:rPr>
        <w:t>场景测试</w:t>
      </w:r>
      <w:r>
        <w:rPr>
          <w:rFonts w:hint="eastAsia" w:ascii="仿宋_GB2312" w:hAnsi="仿宋_GB2312" w:cs="仿宋_GB2312"/>
          <w:sz w:val="32"/>
          <w:szCs w:val="32"/>
          <w:highlight w:val="none"/>
          <w:lang w:eastAsia="zh-Hans"/>
        </w:rPr>
        <w:t>等</w:t>
      </w:r>
      <w:r>
        <w:rPr>
          <w:rFonts w:hint="eastAsia" w:ascii="仿宋_GB2312" w:hAnsi="仿宋_GB2312" w:cs="仿宋_GB2312"/>
          <w:sz w:val="32"/>
          <w:szCs w:val="32"/>
          <w:highlight w:val="none"/>
        </w:rPr>
        <w:t>公共服务</w:t>
      </w:r>
      <w:r>
        <w:rPr>
          <w:rFonts w:hint="eastAsia" w:ascii="仿宋_GB2312" w:hAnsi="仿宋_GB2312" w:cs="仿宋_GB2312"/>
          <w:sz w:val="32"/>
          <w:szCs w:val="32"/>
          <w:highlight w:val="none"/>
          <w:lang w:eastAsia="zh-Hans"/>
        </w:rPr>
        <w:t>的创新</w:t>
      </w:r>
      <w:r>
        <w:rPr>
          <w:rFonts w:hint="eastAsia" w:ascii="仿宋_GB2312" w:hAnsi="仿宋_GB2312" w:cs="仿宋_GB2312"/>
          <w:sz w:val="32"/>
          <w:szCs w:val="32"/>
          <w:highlight w:val="none"/>
        </w:rPr>
        <w:t>平台，经区科技主管部门评审通过后</w:t>
      </w:r>
      <w:r>
        <w:rPr>
          <w:rFonts w:hint="eastAsia" w:ascii="仿宋_GB2312" w:hAnsi="仿宋_GB2312" w:cs="仿宋_GB2312"/>
          <w:sz w:val="32"/>
          <w:szCs w:val="32"/>
          <w:highlight w:val="none"/>
          <w:lang w:eastAsia="zh-Hans"/>
        </w:rPr>
        <w:t>，</w:t>
      </w:r>
      <w:r>
        <w:rPr>
          <w:rFonts w:hint="eastAsia" w:ascii="仿宋_GB2312" w:hAnsi="仿宋_GB2312" w:cs="仿宋_GB2312"/>
          <w:sz w:val="32"/>
          <w:szCs w:val="32"/>
          <w:highlight w:val="none"/>
        </w:rPr>
        <w:t>每年最高资助2000万元，连续资助时间不超过3年。</w:t>
      </w:r>
    </w:p>
    <w:p>
      <w:pPr>
        <w:spacing w:after="0" w:line="560" w:lineRule="exact"/>
        <w:ind w:firstLine="643" w:firstLineChars="200"/>
        <w:outlineLvl w:val="9"/>
        <w:rPr>
          <w:rFonts w:hint="eastAsia" w:ascii="楷体_GB2312" w:hAnsi="楷体_GB2312" w:eastAsia="楷体_GB2312" w:cs="楷体_GB2312"/>
          <w:b/>
          <w:bCs w:val="0"/>
          <w:color w:val="auto"/>
          <w:szCs w:val="24"/>
          <w:highlight w:val="none"/>
          <w:lang w:bidi="ar"/>
        </w:rPr>
      </w:pPr>
      <w:bookmarkStart w:id="203" w:name="_Toc1656044865"/>
      <w:r>
        <w:rPr>
          <w:rFonts w:hint="eastAsia" w:ascii="楷体_GB2312" w:hAnsi="楷体_GB2312" w:eastAsia="楷体_GB2312" w:cs="楷体_GB2312"/>
          <w:b/>
          <w:bCs w:val="0"/>
          <w:color w:val="auto"/>
          <w:szCs w:val="24"/>
          <w:highlight w:val="none"/>
          <w:lang w:bidi="ar"/>
        </w:rPr>
        <w:t>第八条  创新研发机构建设支持计划</w:t>
      </w:r>
      <w:bookmarkEnd w:id="203"/>
    </w:p>
    <w:p>
      <w:pPr>
        <w:pStyle w:val="11"/>
        <w:widowControl/>
        <w:adjustRightInd w:val="0"/>
        <w:snapToGrid w:val="0"/>
        <w:spacing w:beforeAutospacing="0" w:after="0" w:afterAutospacing="0" w:line="560" w:lineRule="exact"/>
        <w:ind w:firstLine="640" w:firstLineChars="200"/>
        <w:jc w:val="both"/>
        <w:rPr>
          <w:rFonts w:hint="eastAsia" w:ascii="仿宋_GB2312" w:hAnsi="仿宋_GB2312" w:cs="仿宋_GB2312"/>
          <w:sz w:val="32"/>
          <w:szCs w:val="32"/>
          <w:highlight w:val="none"/>
        </w:rPr>
      </w:pPr>
      <w:r>
        <w:rPr>
          <w:rFonts w:hint="eastAsia" w:ascii="仿宋_GB2312" w:hAnsi="仿宋_GB2312" w:cs="仿宋_GB2312"/>
          <w:sz w:val="32"/>
          <w:szCs w:val="32"/>
          <w:highlight w:val="none"/>
        </w:rPr>
        <w:t>（一）对符合南山区科技、产业战略发展方向，由南山区新引进的重点新型研发机构，根据研发机构所属领域和对南山区科技、产业支撑力度，经区科技主管部门评审通过后，给予最高</w:t>
      </w:r>
      <w:r>
        <w:rPr>
          <w:rFonts w:hint="eastAsia" w:ascii="仿宋_GB2312" w:hAnsi="仿宋_GB2312" w:cs="仿宋_GB2312"/>
          <w:sz w:val="32"/>
          <w:szCs w:val="32"/>
          <w:highlight w:val="none"/>
          <w:lang w:val="en"/>
        </w:rPr>
        <w:t>5000万</w:t>
      </w:r>
      <w:r>
        <w:rPr>
          <w:rFonts w:hint="eastAsia" w:ascii="仿宋_GB2312" w:hAnsi="仿宋_GB2312" w:cs="仿宋_GB2312"/>
          <w:sz w:val="32"/>
          <w:szCs w:val="32"/>
          <w:highlight w:val="none"/>
        </w:rPr>
        <w:t>元资助。</w:t>
      </w:r>
    </w:p>
    <w:p>
      <w:pPr>
        <w:pStyle w:val="11"/>
        <w:widowControl/>
        <w:spacing w:beforeAutospacing="0" w:after="0" w:afterAutospacing="0" w:line="560" w:lineRule="exact"/>
        <w:ind w:firstLine="640" w:firstLineChars="200"/>
        <w:jc w:val="both"/>
        <w:rPr>
          <w:rFonts w:ascii="仿宋_GB2312" w:hAnsi="仿宋_GB2312" w:cs="仿宋_GB2312"/>
          <w:sz w:val="32"/>
          <w:szCs w:val="32"/>
          <w:highlight w:val="none"/>
        </w:rPr>
      </w:pPr>
      <w:r>
        <w:rPr>
          <w:rFonts w:hint="eastAsia" w:ascii="仿宋_GB2312" w:hAnsi="仿宋_GB2312" w:cs="仿宋_GB2312"/>
          <w:sz w:val="32"/>
          <w:szCs w:val="32"/>
          <w:highlight w:val="none"/>
        </w:rPr>
        <w:t>（二）对市、区重点支持建设的其他科技创新类机构（项目），根据相关协议、文件，给予研究开发、场地租金、建设运营等经费资助，每年每机构（项目）最高资助2500万元。</w:t>
      </w:r>
    </w:p>
    <w:p>
      <w:pPr>
        <w:spacing w:after="0" w:line="560" w:lineRule="exact"/>
        <w:ind w:firstLine="643" w:firstLineChars="200"/>
        <w:outlineLvl w:val="9"/>
        <w:rPr>
          <w:rFonts w:hint="eastAsia" w:ascii="楷体_GB2312" w:hAnsi="楷体_GB2312" w:eastAsia="楷体_GB2312" w:cs="楷体_GB2312"/>
          <w:b/>
          <w:bCs w:val="0"/>
          <w:color w:val="auto"/>
          <w:szCs w:val="24"/>
          <w:highlight w:val="none"/>
          <w:lang w:bidi="ar"/>
        </w:rPr>
      </w:pPr>
      <w:bookmarkStart w:id="204" w:name="_Toc1593491990"/>
      <w:r>
        <w:rPr>
          <w:rFonts w:hint="eastAsia" w:ascii="楷体_GB2312" w:hAnsi="楷体_GB2312" w:eastAsia="楷体_GB2312" w:cs="楷体_GB2312"/>
          <w:b/>
          <w:bCs w:val="0"/>
          <w:color w:val="auto"/>
          <w:szCs w:val="24"/>
          <w:highlight w:val="none"/>
          <w:lang w:bidi="ar"/>
        </w:rPr>
        <w:t>第九条  国家创新载体配套支持计划</w:t>
      </w:r>
      <w:bookmarkEnd w:id="204"/>
    </w:p>
    <w:p>
      <w:pPr>
        <w:spacing w:after="0" w:line="560" w:lineRule="exact"/>
        <w:ind w:firstLine="640" w:firstLineChars="200"/>
        <w:rPr>
          <w:rFonts w:ascii="仿宋_GB2312" w:hAnsi="仿宋_GB2312" w:cs="仿宋_GB2312"/>
          <w:szCs w:val="32"/>
          <w:highlight w:val="none"/>
        </w:rPr>
      </w:pPr>
      <w:r>
        <w:rPr>
          <w:rFonts w:hint="eastAsia" w:ascii="仿宋_GB2312"/>
          <w:szCs w:val="32"/>
          <w:highlight w:val="none"/>
        </w:rPr>
        <w:t>对上年度承担</w:t>
      </w:r>
      <w:r>
        <w:rPr>
          <w:rFonts w:hint="eastAsia" w:ascii="仿宋_GB2312" w:hAnsi="仿宋_GB2312" w:cs="仿宋_GB2312"/>
          <w:szCs w:val="32"/>
          <w:highlight w:val="none"/>
        </w:rPr>
        <w:t>国家重点实验室、工程实验室、工程研究中心、企业技术中心等创新载体建设的企事业单位（以国家发改委、科技部发布的项目为准，同一项目不重复支持），</w:t>
      </w:r>
      <w:r>
        <w:rPr>
          <w:rFonts w:hint="eastAsia" w:ascii="仿宋_GB2312" w:hAnsi="仿宋"/>
          <w:szCs w:val="32"/>
          <w:highlight w:val="none"/>
        </w:rPr>
        <w:t>每家单位奖励200万元</w:t>
      </w:r>
      <w:r>
        <w:rPr>
          <w:rFonts w:hint="eastAsia" w:ascii="仿宋_GB2312" w:hAnsi="仿宋_GB2312" w:cs="仿宋_GB2312"/>
          <w:szCs w:val="32"/>
          <w:highlight w:val="none"/>
        </w:rPr>
        <w:t>。</w:t>
      </w:r>
    </w:p>
    <w:p>
      <w:pPr>
        <w:pStyle w:val="7"/>
        <w:spacing w:after="0"/>
        <w:ind w:left="0" w:leftChars="0" w:firstLine="0" w:firstLineChars="0"/>
        <w:rPr>
          <w:rFonts w:ascii="仿宋_GB2312" w:hAnsi="仿宋_GB2312" w:cs="仿宋_GB2312"/>
          <w:szCs w:val="32"/>
          <w:highlight w:val="none"/>
        </w:rPr>
      </w:pPr>
    </w:p>
    <w:p>
      <w:pPr>
        <w:spacing w:after="0" w:line="560" w:lineRule="exact"/>
        <w:jc w:val="center"/>
        <w:outlineLvl w:val="0"/>
        <w:rPr>
          <w:rFonts w:ascii="黑体" w:eastAsia="黑体"/>
          <w:color w:val="000000"/>
          <w:szCs w:val="32"/>
          <w:highlight w:val="none"/>
        </w:rPr>
      </w:pPr>
      <w:bookmarkStart w:id="205" w:name="_Toc25617"/>
      <w:bookmarkStart w:id="206" w:name="_Toc8576"/>
      <w:bookmarkStart w:id="207" w:name="_Toc21315"/>
      <w:bookmarkStart w:id="208" w:name="_Toc9263"/>
      <w:bookmarkStart w:id="209" w:name="_Toc1713232383"/>
      <w:bookmarkStart w:id="210" w:name="_Toc1089"/>
      <w:bookmarkStart w:id="211" w:name="_Toc9085"/>
      <w:bookmarkStart w:id="212" w:name="_Toc24093"/>
      <w:bookmarkStart w:id="213" w:name="_Toc12863"/>
      <w:bookmarkStart w:id="214" w:name="_Toc10110"/>
      <w:bookmarkStart w:id="215" w:name="_Toc26122"/>
      <w:bookmarkStart w:id="216" w:name="_Toc2068"/>
      <w:bookmarkStart w:id="217" w:name="_Toc18561"/>
      <w:bookmarkStart w:id="218" w:name="_Toc23108"/>
      <w:r>
        <w:rPr>
          <w:rFonts w:hint="eastAsia" w:ascii="黑体" w:eastAsia="黑体"/>
          <w:color w:val="000000"/>
          <w:szCs w:val="32"/>
          <w:highlight w:val="none"/>
        </w:rPr>
        <w:t xml:space="preserve">第三章  </w:t>
      </w:r>
      <w:r>
        <w:rPr>
          <w:rFonts w:ascii="黑体" w:eastAsia="黑体"/>
          <w:color w:val="000000"/>
          <w:szCs w:val="32"/>
          <w:highlight w:val="none"/>
        </w:rPr>
        <w:t>技术</w:t>
      </w:r>
      <w:r>
        <w:rPr>
          <w:rFonts w:hint="eastAsia" w:ascii="黑体" w:eastAsia="黑体"/>
          <w:color w:val="000000"/>
          <w:szCs w:val="32"/>
          <w:highlight w:val="none"/>
        </w:rPr>
        <w:t>研发体系建设专项</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spacing w:after="0" w:line="560" w:lineRule="exact"/>
        <w:rPr>
          <w:highlight w:val="none"/>
        </w:rPr>
      </w:pPr>
    </w:p>
    <w:p>
      <w:pPr>
        <w:adjustRightInd/>
        <w:snapToGrid/>
        <w:spacing w:after="0" w:line="560" w:lineRule="exact"/>
        <w:ind w:firstLine="643" w:firstLineChars="200"/>
        <w:outlineLvl w:val="9"/>
        <w:rPr>
          <w:rFonts w:hint="eastAsia" w:ascii="楷体_GB2312" w:hAnsi="楷体_GB2312" w:eastAsia="楷体_GB2312" w:cs="楷体_GB2312"/>
          <w:b/>
          <w:bCs w:val="0"/>
          <w:color w:val="auto"/>
          <w:szCs w:val="24"/>
          <w:highlight w:val="none"/>
          <w:lang w:bidi="ar"/>
        </w:rPr>
      </w:pPr>
      <w:bookmarkStart w:id="219" w:name="_Toc9058"/>
      <w:bookmarkStart w:id="220" w:name="_Toc22399"/>
      <w:bookmarkStart w:id="221" w:name="_Toc9622"/>
      <w:bookmarkStart w:id="222" w:name="_Toc1248528467"/>
      <w:bookmarkStart w:id="223" w:name="_Toc20107"/>
      <w:bookmarkStart w:id="224" w:name="_Toc22194"/>
      <w:bookmarkStart w:id="225" w:name="_Toc12436"/>
      <w:bookmarkStart w:id="226" w:name="_Toc31975"/>
      <w:bookmarkStart w:id="227" w:name="_Toc121"/>
      <w:bookmarkStart w:id="228" w:name="_Toc20564"/>
      <w:bookmarkStart w:id="229" w:name="_Toc22295"/>
      <w:bookmarkStart w:id="230" w:name="_Toc19524"/>
      <w:bookmarkStart w:id="231" w:name="_Toc3164"/>
      <w:bookmarkStart w:id="232" w:name="_Toc32738"/>
      <w:r>
        <w:rPr>
          <w:rFonts w:hint="eastAsia" w:ascii="楷体_GB2312" w:hAnsi="楷体_GB2312" w:eastAsia="楷体_GB2312" w:cs="楷体_GB2312"/>
          <w:b/>
          <w:bCs w:val="0"/>
          <w:color w:val="auto"/>
          <w:szCs w:val="24"/>
          <w:highlight w:val="none"/>
          <w:lang w:bidi="ar"/>
        </w:rPr>
        <w:t>第十条  重大科技项目支持计划</w:t>
      </w:r>
      <w:bookmarkEnd w:id="219"/>
      <w:bookmarkEnd w:id="220"/>
      <w:bookmarkEnd w:id="221"/>
      <w:bookmarkEnd w:id="222"/>
      <w:bookmarkEnd w:id="223"/>
      <w:bookmarkEnd w:id="224"/>
      <w:bookmarkEnd w:id="225"/>
      <w:bookmarkEnd w:id="226"/>
      <w:bookmarkEnd w:id="227"/>
      <w:bookmarkEnd w:id="228"/>
      <w:bookmarkEnd w:id="229"/>
      <w:bookmarkEnd w:id="230"/>
    </w:p>
    <w:p>
      <w:pPr>
        <w:spacing w:after="0" w:line="560" w:lineRule="exact"/>
        <w:ind w:firstLine="640" w:firstLineChars="200"/>
        <w:rPr>
          <w:rFonts w:ascii="仿宋_GB2312" w:hAnsi="仿宋_GB2312" w:cs="仿宋_GB2312"/>
          <w:szCs w:val="32"/>
          <w:highlight w:val="none"/>
        </w:rPr>
      </w:pPr>
      <w:r>
        <w:rPr>
          <w:rFonts w:hint="eastAsia" w:ascii="仿宋_GB2312"/>
          <w:szCs w:val="32"/>
          <w:highlight w:val="none"/>
        </w:rPr>
        <w:t>对上两年</w:t>
      </w:r>
      <w:r>
        <w:rPr>
          <w:rFonts w:hint="eastAsia" w:ascii="仿宋_GB2312" w:hAnsi="仿宋_GB2312" w:cs="仿宋_GB2312"/>
          <w:szCs w:val="32"/>
          <w:highlight w:val="none"/>
        </w:rPr>
        <w:t>承担国家重点研发计划、重大科技专项等国家科技重大专项的企事业单位（以国家发改委、科技部、工信部相关部门发布的项目为准，同一项目不重复支持），每个项目最高奖励50万元，每家单位每年奖励最高200万元。</w:t>
      </w:r>
    </w:p>
    <w:p>
      <w:pPr>
        <w:spacing w:after="0" w:line="560" w:lineRule="exact"/>
        <w:ind w:firstLine="643" w:firstLineChars="200"/>
        <w:outlineLvl w:val="9"/>
        <w:rPr>
          <w:rFonts w:hint="eastAsia" w:ascii="楷体_GB2312" w:hAnsi="楷体_GB2312" w:eastAsia="楷体_GB2312" w:cs="楷体_GB2312"/>
          <w:b/>
          <w:bCs w:val="0"/>
          <w:color w:val="auto"/>
          <w:highlight w:val="none"/>
          <w:lang w:bidi="ar"/>
        </w:rPr>
      </w:pPr>
      <w:bookmarkStart w:id="233" w:name="_Toc254"/>
      <w:bookmarkStart w:id="234" w:name="_Toc10649"/>
      <w:bookmarkStart w:id="235" w:name="_Toc19945"/>
      <w:bookmarkStart w:id="236" w:name="_Toc3587"/>
      <w:bookmarkStart w:id="237" w:name="_Toc18658"/>
      <w:bookmarkStart w:id="238" w:name="_Toc23692"/>
      <w:bookmarkStart w:id="239" w:name="_Toc27246"/>
      <w:bookmarkStart w:id="240" w:name="_Toc25542"/>
      <w:bookmarkStart w:id="241" w:name="_Toc26292"/>
      <w:bookmarkStart w:id="242" w:name="_Toc1794655257"/>
      <w:r>
        <w:rPr>
          <w:rFonts w:hint="eastAsia" w:ascii="楷体_GB2312" w:hAnsi="楷体_GB2312" w:eastAsia="楷体_GB2312" w:cs="楷体_GB2312"/>
          <w:b/>
          <w:bCs w:val="0"/>
          <w:color w:val="auto"/>
          <w:highlight w:val="none"/>
          <w:lang w:bidi="ar"/>
        </w:rPr>
        <w:t>第十一条  技术攻关联合支持计划</w:t>
      </w:r>
      <w:bookmarkEnd w:id="233"/>
      <w:bookmarkEnd w:id="234"/>
      <w:bookmarkEnd w:id="235"/>
      <w:bookmarkEnd w:id="236"/>
      <w:bookmarkEnd w:id="237"/>
      <w:bookmarkEnd w:id="238"/>
      <w:bookmarkEnd w:id="239"/>
      <w:bookmarkEnd w:id="240"/>
      <w:bookmarkEnd w:id="241"/>
      <w:bookmarkEnd w:id="242"/>
    </w:p>
    <w:p>
      <w:pPr>
        <w:pStyle w:val="11"/>
        <w:widowControl/>
        <w:adjustRightInd w:val="0"/>
        <w:snapToGrid w:val="0"/>
        <w:spacing w:beforeAutospacing="0" w:after="0" w:afterAutospacing="0" w:line="560" w:lineRule="exact"/>
        <w:ind w:firstLine="640" w:firstLineChars="200"/>
        <w:jc w:val="both"/>
        <w:rPr>
          <w:rFonts w:hint="eastAsia" w:ascii="仿宋_GB2312" w:hAnsi="仿宋_GB2312" w:cs="仿宋_GB2312"/>
          <w:sz w:val="32"/>
          <w:szCs w:val="32"/>
          <w:highlight w:val="none"/>
        </w:rPr>
      </w:pPr>
      <w:r>
        <w:rPr>
          <w:rFonts w:hint="eastAsia" w:ascii="仿宋_GB2312" w:hAnsi="仿宋_GB2312" w:cs="仿宋_GB2312"/>
          <w:sz w:val="32"/>
          <w:szCs w:val="32"/>
          <w:highlight w:val="none"/>
        </w:rPr>
        <w:t>对经区科技主管部门备案，且获得市科技行政主管部门技术攻关专项（重点项目）资助的牵头单位，按照</w:t>
      </w:r>
      <w:r>
        <w:rPr>
          <w:rFonts w:hint="default" w:ascii="仿宋_GB2312" w:hAnsi="仿宋_GB2312" w:cs="仿宋_GB2312"/>
          <w:sz w:val="32"/>
          <w:szCs w:val="32"/>
          <w:highlight w:val="none"/>
        </w:rPr>
        <w:t>不超过</w:t>
      </w:r>
      <w:r>
        <w:rPr>
          <w:rFonts w:hint="eastAsia" w:ascii="仿宋_GB2312" w:hAnsi="仿宋_GB2312" w:cs="仿宋_GB2312"/>
          <w:sz w:val="32"/>
          <w:szCs w:val="32"/>
          <w:highlight w:val="none"/>
        </w:rPr>
        <w:t>获得市级资助金额的60%给予资助，每个项目最高资助600万元。</w:t>
      </w:r>
    </w:p>
    <w:bookmarkEnd w:id="231"/>
    <w:bookmarkEnd w:id="232"/>
    <w:p>
      <w:pPr>
        <w:spacing w:after="0" w:line="240" w:lineRule="auto"/>
        <w:ind w:firstLine="640" w:firstLineChars="0"/>
        <w:outlineLvl w:val="9"/>
        <w:rPr>
          <w:rFonts w:hint="eastAsia" w:ascii="楷体_GB2312" w:hAnsi="楷体_GB2312" w:eastAsia="楷体_GB2312" w:cs="楷体_GB2312"/>
          <w:b/>
          <w:color w:val="auto"/>
          <w:szCs w:val="24"/>
          <w:highlight w:val="none"/>
          <w:lang w:bidi="ar"/>
        </w:rPr>
      </w:pPr>
      <w:bookmarkStart w:id="243" w:name="_Toc1145298780"/>
      <w:bookmarkStart w:id="244" w:name="_Toc26720"/>
      <w:bookmarkStart w:id="245" w:name="_Toc27113"/>
      <w:bookmarkStart w:id="246" w:name="_Toc20416"/>
      <w:bookmarkStart w:id="247" w:name="_Toc13064"/>
      <w:bookmarkStart w:id="248" w:name="_Toc19127"/>
      <w:bookmarkStart w:id="249" w:name="_Toc20886"/>
      <w:bookmarkStart w:id="250" w:name="_Toc31085"/>
      <w:bookmarkStart w:id="251" w:name="_Toc17735"/>
      <w:bookmarkStart w:id="252" w:name="_Toc5704"/>
      <w:bookmarkStart w:id="253" w:name="_Toc32659"/>
      <w:bookmarkStart w:id="254" w:name="_Toc11227"/>
      <w:bookmarkStart w:id="255" w:name="_Toc630"/>
      <w:bookmarkStart w:id="256" w:name="_Toc23526"/>
      <w:bookmarkStart w:id="257" w:name="_Toc9708"/>
      <w:bookmarkStart w:id="258" w:name="_Toc30085"/>
      <w:bookmarkStart w:id="259" w:name="_Toc24575"/>
      <w:bookmarkStart w:id="260" w:name="_Toc13854"/>
      <w:bookmarkStart w:id="261" w:name="_Toc0"/>
      <w:bookmarkStart w:id="262" w:name="_Toc12391"/>
      <w:bookmarkStart w:id="263" w:name="_Toc24969"/>
      <w:bookmarkStart w:id="264" w:name="_Toc31335"/>
      <w:bookmarkStart w:id="265" w:name="_Toc19352"/>
      <w:bookmarkStart w:id="266" w:name="_Toc26128"/>
      <w:bookmarkStart w:id="267" w:name="_Toc6031"/>
      <w:bookmarkStart w:id="268" w:name="_Toc30577"/>
      <w:bookmarkStart w:id="269" w:name="_Toc10302"/>
      <w:r>
        <w:rPr>
          <w:rFonts w:hint="eastAsia" w:ascii="楷体_GB2312" w:hAnsi="楷体_GB2312" w:eastAsia="楷体_GB2312" w:cs="楷体_GB2312"/>
          <w:b/>
          <w:color w:val="auto"/>
          <w:szCs w:val="24"/>
          <w:highlight w:val="none"/>
          <w:lang w:bidi="ar"/>
        </w:rPr>
        <w:t xml:space="preserve">第十二条  </w:t>
      </w:r>
      <w:bookmarkStart w:id="270" w:name="_Hlk104114311"/>
      <w:r>
        <w:rPr>
          <w:rFonts w:hint="eastAsia" w:ascii="楷体_GB2312" w:hAnsi="楷体_GB2312" w:eastAsia="楷体_GB2312" w:cs="楷体_GB2312"/>
          <w:b/>
          <w:color w:val="auto"/>
          <w:szCs w:val="24"/>
          <w:highlight w:val="none"/>
          <w:lang w:bidi="ar"/>
        </w:rPr>
        <w:t>企业研发投入支持计划</w:t>
      </w:r>
      <w:bookmarkEnd w:id="243"/>
      <w:bookmarkEnd w:id="270"/>
    </w:p>
    <w:p>
      <w:pPr>
        <w:spacing w:after="0" w:line="560" w:lineRule="exact"/>
        <w:ind w:firstLine="640" w:firstLineChars="200"/>
        <w:contextualSpacing/>
        <w:rPr>
          <w:rFonts w:ascii="仿宋_GB2312"/>
          <w:color w:val="000000" w:themeColor="text1"/>
          <w:szCs w:val="32"/>
          <w:highlight w:val="none"/>
          <w14:textFill>
            <w14:solidFill>
              <w14:schemeClr w14:val="tx1"/>
            </w14:solidFill>
          </w14:textFill>
        </w:rPr>
      </w:pPr>
      <w:bookmarkStart w:id="271" w:name="_Hlk104114326"/>
      <w:r>
        <w:rPr>
          <w:rFonts w:hint="eastAsia" w:ascii="仿宋_GB2312"/>
          <w:color w:val="000000" w:themeColor="text1"/>
          <w:szCs w:val="32"/>
          <w:highlight w:val="none"/>
          <w14:textFill>
            <w14:solidFill>
              <w14:schemeClr w14:val="tx1"/>
            </w14:solidFill>
          </w14:textFill>
        </w:rPr>
        <w:t>对上一年度营业收入总额2千万元以下（含2千万元）的企业给予经核查研发投入总额5%的奖励，每家企业奖励最高100万元；对上一年度营业收入总额2千万元以上的企业给予经核查研发投入总额3%的奖励，每家企业奖励最高1</w:t>
      </w:r>
      <w:r>
        <w:rPr>
          <w:rFonts w:ascii="仿宋_GB2312"/>
          <w:color w:val="000000" w:themeColor="text1"/>
          <w:szCs w:val="32"/>
          <w:highlight w:val="none"/>
          <w14:textFill>
            <w14:solidFill>
              <w14:schemeClr w14:val="tx1"/>
            </w14:solidFill>
          </w14:textFill>
        </w:rPr>
        <w:t>00</w:t>
      </w:r>
      <w:r>
        <w:rPr>
          <w:rFonts w:hint="eastAsia" w:ascii="仿宋_GB2312"/>
          <w:color w:val="000000" w:themeColor="text1"/>
          <w:szCs w:val="32"/>
          <w:highlight w:val="none"/>
          <w14:textFill>
            <w14:solidFill>
              <w14:schemeClr w14:val="tx1"/>
            </w14:solidFill>
          </w14:textFill>
        </w:rPr>
        <w:t>万元；经核查的研发投入总额在申报企业中排名1-10名、11-20名，每家企业分别奖励300万元、200万元。</w:t>
      </w:r>
    </w:p>
    <w:bookmarkEnd w:id="271"/>
    <w:p>
      <w:pPr>
        <w:spacing w:after="0" w:line="560" w:lineRule="exact"/>
        <w:ind w:firstLine="640" w:firstLineChars="200"/>
        <w:contextualSpacing/>
        <w:rPr>
          <w:rFonts w:ascii="仿宋_GB2312"/>
          <w:color w:val="000000" w:themeColor="text1"/>
          <w:szCs w:val="32"/>
          <w:highlight w:val="none"/>
          <w14:textFill>
            <w14:solidFill>
              <w14:schemeClr w14:val="tx1"/>
            </w14:solidFill>
          </w14:textFill>
        </w:rPr>
      </w:pPr>
      <w:r>
        <w:rPr>
          <w:rFonts w:hint="eastAsia" w:ascii="仿宋_GB2312"/>
          <w:color w:val="000000" w:themeColor="text1"/>
          <w:szCs w:val="32"/>
          <w:highlight w:val="none"/>
          <w14:textFill>
            <w14:solidFill>
              <w14:schemeClr w14:val="tx1"/>
            </w14:solidFill>
          </w14:textFill>
        </w:rPr>
        <w:t>享受研发费用加计扣除，且申请企业还应符合以下条件之一：</w:t>
      </w:r>
    </w:p>
    <w:p>
      <w:pPr>
        <w:spacing w:after="0" w:line="560" w:lineRule="exact"/>
        <w:ind w:firstLine="640" w:firstLineChars="200"/>
        <w:contextualSpacing/>
        <w:rPr>
          <w:rFonts w:ascii="仿宋_GB2312"/>
          <w:color w:val="000000" w:themeColor="text1"/>
          <w:szCs w:val="32"/>
          <w:highlight w:val="none"/>
          <w14:textFill>
            <w14:solidFill>
              <w14:schemeClr w14:val="tx1"/>
            </w14:solidFill>
          </w14:textFill>
        </w:rPr>
      </w:pPr>
      <w:r>
        <w:rPr>
          <w:rFonts w:hint="eastAsia" w:ascii="仿宋_GB2312"/>
          <w:color w:val="000000" w:themeColor="text1"/>
          <w:szCs w:val="32"/>
          <w:highlight w:val="none"/>
          <w14:textFill>
            <w14:solidFill>
              <w14:schemeClr w14:val="tx1"/>
            </w14:solidFill>
          </w14:textFill>
        </w:rPr>
        <w:t>（1）对上一年度营业收入总额2千万元以下（含2千万元）的科技型中小企业，需满足上一年度研发投入占营业收入比例不低于30%，且研发投入总额超300万元；</w:t>
      </w:r>
    </w:p>
    <w:p>
      <w:pPr>
        <w:spacing w:after="0" w:line="560" w:lineRule="exact"/>
        <w:ind w:firstLine="640" w:firstLineChars="200"/>
        <w:contextualSpacing/>
        <w:rPr>
          <w:rFonts w:ascii="仿宋_GB2312"/>
          <w:color w:val="000000" w:themeColor="text1"/>
          <w:szCs w:val="32"/>
          <w:highlight w:val="none"/>
          <w14:textFill>
            <w14:solidFill>
              <w14:schemeClr w14:val="tx1"/>
            </w14:solidFill>
          </w14:textFill>
        </w:rPr>
      </w:pPr>
      <w:r>
        <w:rPr>
          <w:rFonts w:hint="eastAsia" w:ascii="仿宋_GB2312"/>
          <w:color w:val="000000" w:themeColor="text1"/>
          <w:szCs w:val="32"/>
          <w:highlight w:val="none"/>
          <w14:textFill>
            <w14:solidFill>
              <w14:schemeClr w14:val="tx1"/>
            </w14:solidFill>
          </w14:textFill>
        </w:rPr>
        <w:t>（2）对上一年度营业收入总额2千万-1亿元（不含1亿元）战略性新兴产业或未来产业的规模以上企业，需满足上一年度研发投入占营业收入比例不低于15%，且研发投入总额超500万元；</w:t>
      </w:r>
    </w:p>
    <w:p>
      <w:pPr>
        <w:spacing w:after="0" w:line="560" w:lineRule="exact"/>
        <w:ind w:firstLine="640" w:firstLineChars="200"/>
        <w:contextualSpacing/>
        <w:rPr>
          <w:rFonts w:ascii="仿宋_GB2312"/>
          <w:color w:val="000000" w:themeColor="text1"/>
          <w:szCs w:val="32"/>
          <w:highlight w:val="none"/>
          <w14:textFill>
            <w14:solidFill>
              <w14:schemeClr w14:val="tx1"/>
            </w14:solidFill>
          </w14:textFill>
        </w:rPr>
      </w:pPr>
      <w:r>
        <w:rPr>
          <w:rFonts w:hint="eastAsia" w:ascii="仿宋_GB2312"/>
          <w:color w:val="000000" w:themeColor="text1"/>
          <w:szCs w:val="32"/>
          <w:highlight w:val="none"/>
          <w14:textFill>
            <w14:solidFill>
              <w14:schemeClr w14:val="tx1"/>
            </w14:solidFill>
          </w14:textFill>
        </w:rPr>
        <w:t>（3）对上一年度营业收入总额1亿元-3亿元（不含3亿元）战略性新兴产业或未来产业的规模以上企业，需满足上一年度研发投入占营业收入比例不低于10%，且研发投入总额超1000万元；</w:t>
      </w:r>
    </w:p>
    <w:p>
      <w:pPr>
        <w:spacing w:after="0" w:line="560" w:lineRule="exact"/>
        <w:ind w:firstLine="640" w:firstLineChars="200"/>
        <w:contextualSpacing/>
        <w:rPr>
          <w:rFonts w:ascii="仿宋_GB2312"/>
          <w:color w:val="000000" w:themeColor="text1"/>
          <w:szCs w:val="32"/>
          <w:highlight w:val="none"/>
          <w14:textFill>
            <w14:solidFill>
              <w14:schemeClr w14:val="tx1"/>
            </w14:solidFill>
          </w14:textFill>
        </w:rPr>
      </w:pPr>
      <w:r>
        <w:rPr>
          <w:rFonts w:hint="eastAsia" w:ascii="仿宋_GB2312"/>
          <w:color w:val="000000" w:themeColor="text1"/>
          <w:szCs w:val="32"/>
          <w:highlight w:val="none"/>
          <w14:textFill>
            <w14:solidFill>
              <w14:schemeClr w14:val="tx1"/>
            </w14:solidFill>
          </w14:textFill>
        </w:rPr>
        <w:t>（4）对上一年度营业收入总额3亿元以上战略性新兴产业或未来产业的规模以上企业，需满足上一年度研发投入占营业收入比例不低于7%，且研发投入总额超2500万元；</w:t>
      </w:r>
    </w:p>
    <w:p>
      <w:pPr>
        <w:spacing w:after="0" w:line="560" w:lineRule="exact"/>
        <w:ind w:firstLine="640" w:firstLineChars="200"/>
        <w:contextualSpacing/>
        <w:rPr>
          <w:rFonts w:ascii="仿宋_GB2312"/>
          <w:color w:val="000000" w:themeColor="text1"/>
          <w:szCs w:val="32"/>
          <w:highlight w:val="none"/>
          <w14:textFill>
            <w14:solidFill>
              <w14:schemeClr w14:val="tx1"/>
            </w14:solidFill>
          </w14:textFill>
        </w:rPr>
      </w:pPr>
      <w:r>
        <w:rPr>
          <w:rFonts w:hint="eastAsia" w:ascii="仿宋_GB2312"/>
          <w:color w:val="000000" w:themeColor="text1"/>
          <w:szCs w:val="32"/>
          <w:highlight w:val="none"/>
          <w14:textFill>
            <w14:solidFill>
              <w14:schemeClr w14:val="tx1"/>
            </w14:solidFill>
          </w14:textFill>
        </w:rPr>
        <w:t>（5）</w:t>
      </w:r>
      <w:r>
        <w:rPr>
          <w:rFonts w:hint="eastAsia" w:ascii="仿宋_GB2312"/>
          <w:szCs w:val="32"/>
          <w:highlight w:val="none"/>
        </w:rPr>
        <w:t>上一年度研发投入总额在项目申报企业中排前20名的企业</w:t>
      </w:r>
      <w:r>
        <w:rPr>
          <w:rFonts w:hint="eastAsia" w:ascii="仿宋_GB2312"/>
          <w:color w:val="000000" w:themeColor="text1"/>
          <w:szCs w:val="32"/>
          <w:highlight w:val="none"/>
          <w14:textFill>
            <w14:solidFill>
              <w14:schemeClr w14:val="tx1"/>
            </w14:solidFill>
          </w14:textFill>
        </w:rPr>
        <w:t>。</w:t>
      </w:r>
    </w:p>
    <w:p>
      <w:pPr>
        <w:spacing w:after="0" w:line="240" w:lineRule="auto"/>
        <w:ind w:firstLine="640" w:firstLineChars="0"/>
        <w:outlineLvl w:val="9"/>
        <w:rPr>
          <w:rFonts w:hint="eastAsia" w:ascii="楷体_GB2312" w:hAnsi="楷体_GB2312" w:eastAsia="楷体_GB2312" w:cs="楷体_GB2312"/>
          <w:b/>
          <w:color w:val="auto"/>
          <w:szCs w:val="24"/>
          <w:highlight w:val="none"/>
          <w:lang w:bidi="ar"/>
        </w:rPr>
      </w:pPr>
      <w:bookmarkStart w:id="272" w:name="_Toc201648579"/>
      <w:r>
        <w:rPr>
          <w:rFonts w:hint="eastAsia" w:ascii="楷体_GB2312" w:hAnsi="楷体_GB2312" w:eastAsia="楷体_GB2312" w:cs="楷体_GB2312"/>
          <w:b/>
          <w:color w:val="auto"/>
          <w:szCs w:val="24"/>
          <w:highlight w:val="none"/>
          <w:lang w:bidi="ar"/>
        </w:rPr>
        <w:t xml:space="preserve">第十三条  </w:t>
      </w:r>
      <w:bookmarkStart w:id="273" w:name="_Hlk104114355"/>
      <w:r>
        <w:rPr>
          <w:rFonts w:hint="eastAsia" w:ascii="楷体_GB2312" w:hAnsi="楷体_GB2312" w:eastAsia="楷体_GB2312" w:cs="楷体_GB2312"/>
          <w:b/>
          <w:color w:val="auto"/>
          <w:szCs w:val="24"/>
          <w:highlight w:val="none"/>
          <w:lang w:bidi="ar"/>
        </w:rPr>
        <w:t>高成长性国高支持计划</w:t>
      </w:r>
      <w:bookmarkEnd w:id="272"/>
      <w:bookmarkEnd w:id="273"/>
    </w:p>
    <w:p>
      <w:pPr>
        <w:spacing w:after="0" w:line="560" w:lineRule="exact"/>
        <w:ind w:firstLine="640" w:firstLineChars="200"/>
        <w:rPr>
          <w:rFonts w:hint="eastAsia" w:ascii="仿宋_GB2312" w:hAnsi="仿宋_GB2312" w:cs="仿宋_GB2312"/>
          <w:szCs w:val="32"/>
          <w:highlight w:val="none"/>
        </w:rPr>
      </w:pPr>
      <w:bookmarkStart w:id="274" w:name="_Hlk104114473"/>
      <w:r>
        <w:rPr>
          <w:rFonts w:hint="eastAsia" w:ascii="仿宋_GB2312"/>
          <w:highlight w:val="none"/>
        </w:rPr>
        <w:t>对上一年度认定通过且营业收入不低于1</w:t>
      </w:r>
      <w:r>
        <w:rPr>
          <w:rFonts w:ascii="仿宋_GB2312"/>
          <w:highlight w:val="none"/>
        </w:rPr>
        <w:t>000</w:t>
      </w:r>
      <w:r>
        <w:rPr>
          <w:rFonts w:hint="eastAsia" w:ascii="仿宋_GB2312"/>
          <w:highlight w:val="none"/>
        </w:rPr>
        <w:t>万元的国家高新技术企业，上一年度营业收入增长率不低于2</w:t>
      </w:r>
      <w:r>
        <w:rPr>
          <w:rFonts w:ascii="仿宋_GB2312"/>
          <w:highlight w:val="none"/>
        </w:rPr>
        <w:t>0</w:t>
      </w:r>
      <w:r>
        <w:rPr>
          <w:rFonts w:hint="eastAsia" w:ascii="仿宋_GB2312"/>
          <w:highlight w:val="none"/>
        </w:rPr>
        <w:t>%、研发投入占营业收入比例不低于5%的，每家一次性奖励最高</w:t>
      </w:r>
      <w:r>
        <w:rPr>
          <w:rFonts w:hint="default" w:ascii="仿宋_GB2312"/>
          <w:highlight w:val="none"/>
        </w:rPr>
        <w:t>100</w:t>
      </w:r>
      <w:r>
        <w:rPr>
          <w:rFonts w:hint="eastAsia" w:ascii="仿宋_GB2312"/>
          <w:highlight w:val="none"/>
        </w:rPr>
        <w:t>万元</w:t>
      </w:r>
      <w:bookmarkEnd w:id="274"/>
      <w:r>
        <w:rPr>
          <w:rFonts w:hint="eastAsia" w:ascii="仿宋_GB2312" w:hAnsi="仿宋_GB2312" w:cs="仿宋_GB2312"/>
          <w:szCs w:val="32"/>
          <w:highlight w:val="none"/>
        </w:rPr>
        <w:t>。</w:t>
      </w:r>
    </w:p>
    <w:p>
      <w:pPr>
        <w:spacing w:after="0" w:line="240" w:lineRule="auto"/>
        <w:ind w:firstLine="640" w:firstLineChars="0"/>
        <w:outlineLvl w:val="9"/>
        <w:rPr>
          <w:rFonts w:hint="eastAsia" w:ascii="楷体_GB2312" w:hAnsi="楷体_GB2312" w:eastAsia="楷体_GB2312" w:cs="楷体_GB2312"/>
          <w:b/>
          <w:bCs w:val="0"/>
          <w:color w:val="auto"/>
          <w:kern w:val="2"/>
          <w:szCs w:val="24"/>
          <w:highlight w:val="none"/>
          <w:lang w:bidi="ar"/>
        </w:rPr>
      </w:pPr>
      <w:bookmarkStart w:id="275" w:name="_Toc516445996"/>
      <w:r>
        <w:rPr>
          <w:rFonts w:hint="eastAsia" w:ascii="楷体_GB2312" w:hAnsi="楷体_GB2312" w:eastAsia="楷体_GB2312" w:cs="楷体_GB2312"/>
          <w:b/>
          <w:bCs w:val="0"/>
          <w:color w:val="auto"/>
          <w:kern w:val="2"/>
          <w:szCs w:val="24"/>
          <w:highlight w:val="none"/>
          <w:lang w:bidi="ar"/>
        </w:rPr>
        <w:t>第十四条  军民融合领域支持计划</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75"/>
    </w:p>
    <w:p>
      <w:pPr>
        <w:pStyle w:val="18"/>
        <w:spacing w:after="0" w:line="560" w:lineRule="exact"/>
        <w:ind w:firstLine="640"/>
        <w:rPr>
          <w:rFonts w:hint="eastAsia" w:ascii="仿宋_GB2312" w:hAnsi="宋体" w:eastAsia="仿宋_GB2312" w:cstheme="minorBidi"/>
          <w:szCs w:val="32"/>
          <w:highlight w:val="none"/>
        </w:rPr>
      </w:pPr>
      <w:r>
        <w:rPr>
          <w:rFonts w:hint="eastAsia" w:ascii="仿宋_GB2312" w:hAnsi="宋体" w:eastAsia="仿宋_GB2312" w:cstheme="minorBidi"/>
          <w:szCs w:val="32"/>
          <w:highlight w:val="none"/>
        </w:rPr>
        <w:t>本计划由区科技主管部门直接受理，受理和资助情况不予公开。</w:t>
      </w:r>
      <w:bookmarkStart w:id="276" w:name="_Toc6808"/>
    </w:p>
    <w:p>
      <w:pPr>
        <w:pStyle w:val="18"/>
        <w:spacing w:after="0" w:line="560" w:lineRule="exact"/>
        <w:ind w:firstLine="640"/>
        <w:rPr>
          <w:rFonts w:hint="eastAsia" w:ascii="仿宋_GB2312" w:hAnsi="Times New Roman" w:eastAsia="仿宋_GB2312" w:cs="Times New Roman"/>
          <w:b/>
          <w:color w:val="auto"/>
          <w:kern w:val="2"/>
          <w:szCs w:val="24"/>
          <w:highlight w:val="none"/>
          <w:shd w:val="clear" w:color="auto" w:fill="auto"/>
          <w:lang w:bidi="ar"/>
        </w:rPr>
      </w:pPr>
      <w:r>
        <w:rPr>
          <w:rFonts w:hint="eastAsia" w:ascii="仿宋_GB2312" w:cs="Times New Roman"/>
          <w:b/>
          <w:color w:val="auto"/>
          <w:kern w:val="2"/>
          <w:szCs w:val="24"/>
          <w:highlight w:val="none"/>
          <w:shd w:val="clear"/>
          <w:lang w:eastAsia="zh-CN" w:bidi="ar"/>
        </w:rPr>
        <w:t>（一）</w:t>
      </w:r>
      <w:r>
        <w:rPr>
          <w:rFonts w:hint="eastAsia" w:ascii="仿宋_GB2312" w:hAnsi="Times New Roman" w:eastAsia="仿宋_GB2312" w:cs="Times New Roman"/>
          <w:b/>
          <w:color w:val="auto"/>
          <w:kern w:val="2"/>
          <w:szCs w:val="24"/>
          <w:highlight w:val="none"/>
          <w:shd w:val="clear" w:color="auto" w:fill="auto"/>
          <w:lang w:bidi="ar"/>
        </w:rPr>
        <w:t>军民融合企业支持</w:t>
      </w:r>
    </w:p>
    <w:p>
      <w:pPr>
        <w:adjustRightInd w:val="0"/>
        <w:spacing w:after="0" w:line="560" w:lineRule="exact"/>
        <w:ind w:firstLine="640" w:firstLineChars="200"/>
        <w:rPr>
          <w:rFonts w:ascii="仿宋_GB2312" w:hAnsi="仿宋_GB2312" w:cs="仿宋_GB2312"/>
          <w:highlight w:val="none"/>
        </w:rPr>
      </w:pPr>
      <w:bookmarkStart w:id="277" w:name="_Hlk92382936"/>
      <w:r>
        <w:rPr>
          <w:rFonts w:hint="eastAsia" w:ascii="仿宋_GB2312" w:hAnsi="仿宋_GB2312" w:cs="仿宋_GB2312"/>
          <w:kern w:val="0"/>
          <w:szCs w:val="32"/>
          <w:highlight w:val="none"/>
          <w:shd w:val="clear" w:color="auto" w:fill="FFFFFF"/>
        </w:rPr>
        <w:t>1.军品订单项目支持</w:t>
      </w:r>
    </w:p>
    <w:p>
      <w:pPr>
        <w:spacing w:after="0" w:line="560" w:lineRule="exact"/>
        <w:ind w:firstLine="640" w:firstLineChars="200"/>
        <w:rPr>
          <w:rFonts w:ascii="仿宋_GB2312" w:hAnsi="仿宋_GB2312" w:cs="仿宋_GB2312"/>
          <w:szCs w:val="32"/>
          <w:highlight w:val="none"/>
        </w:rPr>
      </w:pPr>
      <w:r>
        <w:rPr>
          <w:rFonts w:hint="eastAsia" w:ascii="仿宋_GB2312" w:hAnsi="仿宋_GB2312" w:cs="仿宋_GB2312"/>
          <w:szCs w:val="32"/>
          <w:highlight w:val="none"/>
        </w:rPr>
        <w:t>对武器装备科研生产许可证认证或装备承制单位资格认证在有效期内的企事业单位，根据每家单位上一年度完成军品订单项目合同到账金额，给予最高100万元的资助。</w:t>
      </w:r>
    </w:p>
    <w:p>
      <w:pPr>
        <w:spacing w:after="0" w:line="560" w:lineRule="exact"/>
        <w:ind w:firstLine="640" w:firstLineChars="200"/>
        <w:rPr>
          <w:rFonts w:ascii="仿宋_GB2312" w:hAnsi="仿宋_GB2312" w:cs="仿宋_GB2312"/>
          <w:szCs w:val="32"/>
          <w:highlight w:val="none"/>
        </w:rPr>
      </w:pPr>
      <w:r>
        <w:rPr>
          <w:rFonts w:hint="eastAsia" w:ascii="仿宋_GB2312" w:hAnsi="仿宋_GB2312" w:cs="仿宋_GB2312"/>
          <w:szCs w:val="32"/>
          <w:highlight w:val="none"/>
        </w:rPr>
        <w:t>2.国防科学技术成果鉴定支持</w:t>
      </w:r>
    </w:p>
    <w:p>
      <w:pPr>
        <w:spacing w:after="0" w:line="560" w:lineRule="exact"/>
        <w:ind w:firstLine="640" w:firstLineChars="200"/>
        <w:rPr>
          <w:rFonts w:ascii="仿宋_GB2312" w:hAnsi="仿宋_GB2312" w:cs="仿宋_GB2312"/>
          <w:szCs w:val="32"/>
          <w:highlight w:val="none"/>
        </w:rPr>
      </w:pPr>
      <w:r>
        <w:rPr>
          <w:rFonts w:hint="eastAsia" w:ascii="仿宋_GB2312" w:hAnsi="仿宋_GB2312" w:cs="仿宋_GB2312"/>
          <w:szCs w:val="32"/>
          <w:highlight w:val="none"/>
        </w:rPr>
        <w:t>对上一年度开展并通过国防科学技术成果鉴定的</w:t>
      </w:r>
      <w:r>
        <w:rPr>
          <w:rFonts w:hint="eastAsia" w:ascii="仿宋_GB2312" w:hAnsi="黑体"/>
          <w:bCs/>
          <w:szCs w:val="32"/>
          <w:highlight w:val="none"/>
        </w:rPr>
        <w:t>南山区</w:t>
      </w:r>
      <w:r>
        <w:rPr>
          <w:rFonts w:hint="eastAsia" w:ascii="仿宋_GB2312" w:hAnsi="仿宋_GB2312" w:cs="仿宋_GB2312"/>
          <w:szCs w:val="32"/>
          <w:highlight w:val="none"/>
        </w:rPr>
        <w:t>企事业单位，按照鉴定委托费用的50%给予资助，每个项目最高资助10万元，每家单位每年最高资助50万元。</w:t>
      </w:r>
    </w:p>
    <w:p>
      <w:pPr>
        <w:spacing w:after="0" w:line="560" w:lineRule="exact"/>
        <w:ind w:firstLine="640" w:firstLineChars="200"/>
        <w:rPr>
          <w:rFonts w:ascii="仿宋_GB2312" w:hAnsi="仿宋_GB2312" w:cs="仿宋_GB2312"/>
          <w:szCs w:val="32"/>
          <w:highlight w:val="none"/>
        </w:rPr>
      </w:pPr>
      <w:r>
        <w:rPr>
          <w:rFonts w:hint="eastAsia" w:ascii="仿宋_GB2312" w:hAnsi="仿宋_GB2312" w:cs="仿宋_GB2312"/>
          <w:szCs w:val="32"/>
          <w:highlight w:val="none"/>
        </w:rPr>
        <w:t>3.国防科学技术成果转化支持</w:t>
      </w:r>
    </w:p>
    <w:bookmarkEnd w:id="277"/>
    <w:p>
      <w:pPr>
        <w:spacing w:after="0" w:line="560" w:lineRule="exact"/>
        <w:ind w:firstLine="640" w:firstLineChars="200"/>
        <w:rPr>
          <w:rFonts w:hint="eastAsia" w:ascii="仿宋_GB2312" w:hAnsi="仿宋_GB2312" w:cs="仿宋_GB2312"/>
          <w:szCs w:val="32"/>
          <w:highlight w:val="none"/>
        </w:rPr>
      </w:pPr>
      <w:r>
        <w:rPr>
          <w:rFonts w:hint="eastAsia" w:ascii="仿宋_GB2312"/>
          <w:bCs/>
          <w:szCs w:val="32"/>
          <w:highlight w:val="none"/>
        </w:rPr>
        <w:t>支持辖区企业针对国防科学技术成果开展二次转化、中试验证、批量生产等工程化阶段瓶颈的创新攻关，重点突破一批“卡脖子”技术和产品，按照攻关投入的50%给予资助，每个项目最高资助100万元，每家企业每年最高资助500万元</w:t>
      </w:r>
      <w:r>
        <w:rPr>
          <w:rFonts w:hint="eastAsia" w:ascii="仿宋_GB2312" w:hAnsi="仿宋_GB2312" w:cs="仿宋_GB2312"/>
          <w:szCs w:val="32"/>
          <w:highlight w:val="none"/>
        </w:rPr>
        <w:t>。</w:t>
      </w:r>
    </w:p>
    <w:p>
      <w:pPr>
        <w:spacing w:after="0" w:line="560" w:lineRule="exact"/>
        <w:ind w:firstLine="643" w:firstLineChars="200"/>
        <w:rPr>
          <w:rFonts w:hint="eastAsia" w:ascii="仿宋_GB2312" w:hAnsi="Times New Roman" w:eastAsia="仿宋_GB2312" w:cs="Times New Roman"/>
          <w:b/>
          <w:color w:val="auto"/>
          <w:kern w:val="2"/>
          <w:szCs w:val="24"/>
          <w:highlight w:val="none"/>
          <w:shd w:val="clear" w:color="auto" w:fill="auto"/>
          <w:lang w:bidi="ar"/>
        </w:rPr>
      </w:pPr>
      <w:r>
        <w:rPr>
          <w:rFonts w:hint="eastAsia" w:ascii="仿宋_GB2312" w:hAnsi="Times New Roman" w:eastAsia="仿宋_GB2312" w:cs="Times New Roman"/>
          <w:b/>
          <w:color w:val="auto"/>
          <w:kern w:val="2"/>
          <w:szCs w:val="24"/>
          <w:highlight w:val="none"/>
          <w:shd w:val="clear" w:color="auto" w:fill="auto"/>
          <w:lang w:bidi="ar"/>
        </w:rPr>
        <w:t>（二）军民融合服务机构支持</w:t>
      </w:r>
      <w:bookmarkEnd w:id="276"/>
    </w:p>
    <w:p>
      <w:pPr>
        <w:spacing w:after="0" w:line="560" w:lineRule="exact"/>
        <w:ind w:firstLine="640" w:firstLineChars="200"/>
        <w:rPr>
          <w:rFonts w:ascii="仿宋_GB2312" w:hAnsi="宋体" w:cstheme="minorBidi"/>
          <w:szCs w:val="32"/>
          <w:highlight w:val="none"/>
        </w:rPr>
      </w:pPr>
      <w:r>
        <w:rPr>
          <w:rFonts w:hint="eastAsia" w:ascii="仿宋_GB2312" w:hAnsi="宋体" w:cstheme="minorBidi"/>
          <w:szCs w:val="32"/>
          <w:highlight w:val="none"/>
        </w:rPr>
        <w:t>对经军委装备发展部、军委科学技术委员会、国家国防科技工业局等机构批准设立从事军民融合科技服务的异地机构或依托单位</w:t>
      </w:r>
      <w:r>
        <w:rPr>
          <w:rFonts w:ascii="仿宋_GB2312" w:hAnsi="宋体" w:cstheme="minorBidi"/>
          <w:szCs w:val="32"/>
          <w:highlight w:val="none"/>
        </w:rPr>
        <w:t>,</w:t>
      </w:r>
      <w:r>
        <w:rPr>
          <w:rFonts w:hint="eastAsia" w:ascii="仿宋_GB2312" w:hAnsi="宋体" w:cstheme="minorBidi"/>
          <w:szCs w:val="32"/>
          <w:highlight w:val="none"/>
        </w:rPr>
        <w:t>按照其上一年度运营费用</w:t>
      </w:r>
      <w:r>
        <w:rPr>
          <w:rFonts w:ascii="仿宋_GB2312" w:hAnsi="宋体" w:cstheme="minorBidi"/>
          <w:szCs w:val="32"/>
          <w:highlight w:val="none"/>
        </w:rPr>
        <w:t>50%给予资助，每</w:t>
      </w:r>
      <w:r>
        <w:rPr>
          <w:rFonts w:hint="eastAsia" w:ascii="仿宋_GB2312" w:hAnsi="宋体" w:cstheme="minorBidi"/>
          <w:szCs w:val="32"/>
          <w:highlight w:val="none"/>
        </w:rPr>
        <w:t>年最高资助</w:t>
      </w:r>
      <w:r>
        <w:rPr>
          <w:rFonts w:ascii="仿宋_GB2312" w:hAnsi="宋体" w:cstheme="minorBidi"/>
          <w:szCs w:val="32"/>
          <w:highlight w:val="none"/>
        </w:rPr>
        <w:t>200</w:t>
      </w:r>
      <w:r>
        <w:rPr>
          <w:rFonts w:hint="eastAsia" w:ascii="仿宋_GB2312" w:hAnsi="宋体" w:cstheme="minorBidi"/>
          <w:szCs w:val="32"/>
          <w:highlight w:val="none"/>
        </w:rPr>
        <w:t>万元。</w:t>
      </w:r>
    </w:p>
    <w:p>
      <w:pPr>
        <w:spacing w:before="0" w:after="0" w:line="240" w:lineRule="auto"/>
        <w:ind w:firstLine="640" w:firstLineChars="0"/>
        <w:outlineLvl w:val="9"/>
        <w:rPr>
          <w:rFonts w:hint="eastAsia" w:ascii="楷体_GB2312" w:hAnsi="楷体_GB2312" w:eastAsia="楷体_GB2312" w:cs="楷体_GB2312"/>
          <w:b/>
          <w:bCs w:val="0"/>
          <w:color w:val="auto"/>
          <w:highlight w:val="none"/>
          <w:lang w:bidi="ar"/>
        </w:rPr>
      </w:pPr>
      <w:bookmarkStart w:id="278" w:name="_Toc3392"/>
      <w:bookmarkStart w:id="279" w:name="_Toc956"/>
      <w:bookmarkStart w:id="280" w:name="_Toc15879"/>
      <w:bookmarkStart w:id="281" w:name="_Toc15483"/>
      <w:bookmarkStart w:id="282" w:name="_Toc2066819543"/>
      <w:bookmarkStart w:id="283" w:name="_Toc17132"/>
      <w:bookmarkStart w:id="284" w:name="_Toc15584"/>
      <w:bookmarkStart w:id="285" w:name="_Toc2437"/>
      <w:bookmarkStart w:id="286" w:name="_Toc31987"/>
      <w:bookmarkStart w:id="287" w:name="_Toc30305"/>
      <w:bookmarkStart w:id="288" w:name="_Toc22643"/>
      <w:bookmarkStart w:id="289" w:name="_Toc9900"/>
      <w:bookmarkStart w:id="290" w:name="_Toc1930"/>
      <w:bookmarkStart w:id="291" w:name="_Toc17391"/>
      <w:r>
        <w:rPr>
          <w:rFonts w:hint="eastAsia" w:ascii="楷体_GB2312" w:hAnsi="楷体_GB2312" w:eastAsia="楷体_GB2312" w:cs="楷体_GB2312"/>
          <w:b/>
          <w:bCs w:val="0"/>
          <w:color w:val="auto"/>
          <w:highlight w:val="none"/>
          <w:lang w:bidi="ar"/>
        </w:rPr>
        <w:t>第十五条  信创生态建设支持计划</w:t>
      </w:r>
      <w:bookmarkEnd w:id="278"/>
      <w:bookmarkEnd w:id="279"/>
      <w:bookmarkEnd w:id="280"/>
      <w:bookmarkEnd w:id="281"/>
      <w:bookmarkEnd w:id="282"/>
      <w:bookmarkEnd w:id="283"/>
      <w:bookmarkEnd w:id="284"/>
      <w:bookmarkEnd w:id="285"/>
      <w:bookmarkEnd w:id="286"/>
      <w:bookmarkEnd w:id="287"/>
      <w:bookmarkEnd w:id="288"/>
    </w:p>
    <w:p>
      <w:pPr>
        <w:pStyle w:val="18"/>
        <w:spacing w:after="0" w:line="560" w:lineRule="exact"/>
        <w:ind w:firstLine="640"/>
        <w:rPr>
          <w:highlight w:val="none"/>
        </w:rPr>
      </w:pPr>
      <w:r>
        <w:rPr>
          <w:rFonts w:hint="eastAsia" w:ascii="仿宋_GB2312" w:hAnsi="宋体" w:eastAsia="仿宋_GB2312" w:cstheme="minorBidi"/>
          <w:szCs w:val="32"/>
          <w:highlight w:val="none"/>
        </w:rPr>
        <w:t>本计划由区科技主管部门直接受理，受理和资助情况不予公开。</w:t>
      </w:r>
    </w:p>
    <w:p>
      <w:pPr>
        <w:spacing w:after="0" w:line="560" w:lineRule="exact"/>
        <w:ind w:firstLine="640" w:firstLineChars="200"/>
        <w:contextualSpacing/>
        <w:rPr>
          <w:rFonts w:ascii="仿宋_GB2312"/>
          <w:szCs w:val="32"/>
          <w:highlight w:val="none"/>
        </w:rPr>
      </w:pPr>
      <w:r>
        <w:rPr>
          <w:rFonts w:hint="eastAsia" w:ascii="仿宋_GB2312" w:hAnsi="仿宋_GB2312" w:cs="仿宋_GB2312"/>
          <w:kern w:val="0"/>
          <w:szCs w:val="32"/>
          <w:highlight w:val="none"/>
        </w:rPr>
        <w:t>（一）国家信创产业支持。</w:t>
      </w:r>
      <w:bookmarkStart w:id="292" w:name="_Hlk104114264"/>
      <w:r>
        <w:rPr>
          <w:rFonts w:hint="eastAsia" w:ascii="仿宋_GB2312"/>
          <w:szCs w:val="32"/>
          <w:highlight w:val="none"/>
        </w:rPr>
        <w:t>对入围国家信创产品目录的企业，</w:t>
      </w:r>
      <w:r>
        <w:rPr>
          <w:rFonts w:hint="eastAsia" w:ascii="仿宋_GB2312" w:hAnsi="黑体"/>
          <w:bCs/>
          <w:szCs w:val="32"/>
          <w:highlight w:val="none"/>
        </w:rPr>
        <w:t>根据每家单位上一年度完成</w:t>
      </w:r>
      <w:r>
        <w:rPr>
          <w:rFonts w:hint="eastAsia" w:ascii="仿宋_GB2312"/>
          <w:szCs w:val="32"/>
          <w:highlight w:val="none"/>
        </w:rPr>
        <w:t>入围产品销售合同</w:t>
      </w:r>
      <w:r>
        <w:rPr>
          <w:rFonts w:hint="eastAsia" w:ascii="仿宋_GB2312" w:hAnsi="黑体"/>
          <w:bCs/>
          <w:szCs w:val="32"/>
          <w:highlight w:val="none"/>
        </w:rPr>
        <w:t>到账金额</w:t>
      </w:r>
      <w:r>
        <w:rPr>
          <w:rFonts w:hint="eastAsia" w:ascii="仿宋_GB2312"/>
          <w:szCs w:val="32"/>
          <w:highlight w:val="none"/>
        </w:rPr>
        <w:t>的50%给予奖励，每个产品一次性最高奖励50万元，每家企业每年最高奖励200万元</w:t>
      </w:r>
      <w:bookmarkEnd w:id="292"/>
      <w:r>
        <w:rPr>
          <w:rFonts w:hint="eastAsia" w:ascii="仿宋_GB2312"/>
          <w:szCs w:val="32"/>
          <w:highlight w:val="none"/>
        </w:rPr>
        <w:t>。</w:t>
      </w:r>
    </w:p>
    <w:p>
      <w:pPr>
        <w:numPr>
          <w:ilvl w:val="255"/>
          <w:numId w:val="0"/>
        </w:numPr>
        <w:autoSpaceDN w:val="0"/>
        <w:snapToGrid w:val="0"/>
        <w:spacing w:after="0" w:line="560" w:lineRule="exact"/>
        <w:ind w:firstLine="640" w:firstLineChars="200"/>
        <w:rPr>
          <w:rFonts w:ascii="仿宋_GB2312" w:hAnsi="仿宋_GB2312" w:cs="仿宋_GB2312"/>
          <w:szCs w:val="22"/>
          <w:highlight w:val="none"/>
        </w:rPr>
      </w:pPr>
      <w:r>
        <w:rPr>
          <w:rFonts w:hint="eastAsia" w:ascii="仿宋_GB2312" w:hAnsi="仿宋_GB2312" w:cs="仿宋_GB2312"/>
          <w:kern w:val="0"/>
          <w:szCs w:val="32"/>
          <w:highlight w:val="none"/>
        </w:rPr>
        <w:t>（二）</w:t>
      </w:r>
      <w:bookmarkStart w:id="293" w:name="_Hlk104114276"/>
      <w:r>
        <w:rPr>
          <w:rFonts w:hint="eastAsia" w:ascii="仿宋_GB2312" w:hAnsi="仿宋_GB2312" w:cs="仿宋_GB2312"/>
          <w:kern w:val="0"/>
          <w:szCs w:val="32"/>
          <w:highlight w:val="none"/>
        </w:rPr>
        <w:t>新一代信息技术应用创新中心支持。</w:t>
      </w:r>
      <w:r>
        <w:rPr>
          <w:rFonts w:hint="eastAsia" w:ascii="仿宋_GB2312" w:hAnsi="仿宋_GB2312" w:cs="仿宋_GB2312"/>
          <w:szCs w:val="22"/>
          <w:highlight w:val="none"/>
        </w:rPr>
        <w:t>每年给予最高2000万元资助</w:t>
      </w:r>
      <w:r>
        <w:rPr>
          <w:rFonts w:ascii="仿宋_GB2312" w:hAnsi="仿宋_GB2312" w:cs="仿宋_GB2312"/>
          <w:szCs w:val="22"/>
          <w:highlight w:val="none"/>
        </w:rPr>
        <w:t>南山华为新一代信息技术应用创新中心的</w:t>
      </w:r>
      <w:r>
        <w:rPr>
          <w:rFonts w:hint="eastAsia" w:ascii="仿宋_GB2312" w:hAnsi="仿宋_GB2312" w:cs="仿宋_GB2312"/>
          <w:szCs w:val="22"/>
          <w:highlight w:val="none"/>
        </w:rPr>
        <w:t>建设、</w:t>
      </w:r>
      <w:r>
        <w:rPr>
          <w:rFonts w:ascii="仿宋_GB2312" w:hAnsi="仿宋_GB2312" w:cs="仿宋_GB2312"/>
          <w:szCs w:val="22"/>
          <w:highlight w:val="none"/>
        </w:rPr>
        <w:t>运营</w:t>
      </w:r>
      <w:r>
        <w:rPr>
          <w:rFonts w:hint="eastAsia" w:ascii="仿宋_GB2312" w:hAnsi="仿宋_GB2312" w:cs="仿宋_GB2312"/>
          <w:szCs w:val="22"/>
          <w:highlight w:val="none"/>
        </w:rPr>
        <w:t>等</w:t>
      </w:r>
      <w:r>
        <w:rPr>
          <w:rFonts w:ascii="仿宋_GB2312" w:hAnsi="仿宋_GB2312" w:cs="仿宋_GB2312"/>
          <w:szCs w:val="22"/>
          <w:highlight w:val="none"/>
        </w:rPr>
        <w:t>，</w:t>
      </w:r>
      <w:r>
        <w:rPr>
          <w:rFonts w:hint="eastAsia" w:ascii="仿宋_GB2312" w:hAnsi="仿宋_GB2312" w:cs="仿宋_GB2312"/>
          <w:szCs w:val="22"/>
          <w:highlight w:val="none"/>
        </w:rPr>
        <w:t>原则上连续资助不超过5年</w:t>
      </w:r>
      <w:bookmarkEnd w:id="293"/>
      <w:r>
        <w:rPr>
          <w:rFonts w:hint="eastAsia" w:ascii="仿宋_GB2312" w:hAnsi="仿宋_GB2312" w:cs="仿宋_GB2312"/>
          <w:szCs w:val="22"/>
          <w:highlight w:val="none"/>
        </w:rPr>
        <w:t>。</w:t>
      </w:r>
    </w:p>
    <w:p>
      <w:pPr>
        <w:autoSpaceDN w:val="0"/>
        <w:snapToGrid w:val="0"/>
        <w:spacing w:after="0" w:line="560" w:lineRule="exact"/>
        <w:ind w:firstLine="640" w:firstLineChars="200"/>
        <w:rPr>
          <w:rFonts w:ascii="仿宋_GB2312" w:hAnsi="仿宋_GB2312" w:cs="仿宋_GB2312"/>
          <w:szCs w:val="22"/>
          <w:highlight w:val="none"/>
        </w:rPr>
      </w:pPr>
      <w:r>
        <w:rPr>
          <w:rFonts w:hint="eastAsia" w:ascii="仿宋_GB2312" w:hAnsi="仿宋_GB2312" w:cs="仿宋_GB2312"/>
          <w:kern w:val="0"/>
          <w:szCs w:val="32"/>
          <w:highlight w:val="none"/>
        </w:rPr>
        <w:t>（三）鲲鹏人才基地支持。</w:t>
      </w:r>
      <w:bookmarkStart w:id="294" w:name="_Hlk104114296"/>
      <w:r>
        <w:rPr>
          <w:rFonts w:hint="eastAsia" w:ascii="仿宋_GB2312" w:hAnsi="仿宋_GB2312" w:cs="仿宋_GB2312"/>
          <w:szCs w:val="22"/>
          <w:highlight w:val="none"/>
        </w:rPr>
        <w:t>每年给予最高1000万元资助</w:t>
      </w:r>
      <w:r>
        <w:rPr>
          <w:rFonts w:hint="eastAsia" w:ascii="仿宋_GB2312" w:hAnsi="仿宋_GB2312" w:cs="仿宋_GB2312"/>
          <w:kern w:val="0"/>
          <w:szCs w:val="32"/>
          <w:highlight w:val="none"/>
        </w:rPr>
        <w:t>南山区鲲鹏人才基地建设等，</w:t>
      </w:r>
      <w:r>
        <w:rPr>
          <w:rFonts w:hint="eastAsia" w:ascii="仿宋_GB2312" w:hAnsi="仿宋_GB2312" w:cs="仿宋_GB2312"/>
          <w:szCs w:val="22"/>
          <w:highlight w:val="none"/>
        </w:rPr>
        <w:t>原则上连续资助不超过3年</w:t>
      </w:r>
      <w:bookmarkEnd w:id="294"/>
      <w:r>
        <w:rPr>
          <w:rFonts w:hint="eastAsia" w:ascii="仿宋_GB2312" w:hAnsi="仿宋_GB2312" w:cs="仿宋_GB2312"/>
          <w:szCs w:val="22"/>
          <w:highlight w:val="none"/>
        </w:rPr>
        <w:t>。</w:t>
      </w:r>
      <w:bookmarkEnd w:id="289"/>
      <w:bookmarkEnd w:id="290"/>
      <w:bookmarkEnd w:id="291"/>
    </w:p>
    <w:p>
      <w:pPr>
        <w:pStyle w:val="12"/>
        <w:ind w:firstLine="320"/>
        <w:rPr>
          <w:highlight w:val="none"/>
        </w:rPr>
      </w:pPr>
    </w:p>
    <w:p>
      <w:pPr>
        <w:spacing w:after="0" w:line="560" w:lineRule="exact"/>
        <w:jc w:val="center"/>
        <w:outlineLvl w:val="0"/>
        <w:rPr>
          <w:rFonts w:ascii="黑体" w:eastAsia="黑体"/>
          <w:color w:val="000000"/>
          <w:szCs w:val="32"/>
          <w:highlight w:val="none"/>
        </w:rPr>
      </w:pPr>
      <w:bookmarkStart w:id="295" w:name="_Toc1077367769"/>
      <w:r>
        <w:rPr>
          <w:rFonts w:hint="eastAsia" w:ascii="黑体" w:eastAsia="黑体"/>
          <w:color w:val="000000"/>
          <w:szCs w:val="32"/>
          <w:highlight w:val="none"/>
        </w:rPr>
        <w:t>第四章  成果转化体系建设专项</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95"/>
    </w:p>
    <w:p>
      <w:pPr>
        <w:spacing w:after="0" w:line="560" w:lineRule="exact"/>
        <w:rPr>
          <w:highlight w:val="none"/>
        </w:rPr>
      </w:pPr>
    </w:p>
    <w:p>
      <w:pPr>
        <w:spacing w:after="0" w:line="240" w:lineRule="auto"/>
        <w:ind w:firstLine="640" w:firstLineChars="0"/>
        <w:outlineLvl w:val="9"/>
        <w:rPr>
          <w:rFonts w:hint="eastAsia" w:ascii="楷体_GB2312" w:hAnsi="楷体_GB2312" w:eastAsia="楷体_GB2312" w:cs="楷体_GB2312"/>
          <w:b/>
          <w:color w:val="auto"/>
          <w:szCs w:val="24"/>
          <w:highlight w:val="none"/>
          <w:lang w:bidi="ar"/>
        </w:rPr>
      </w:pPr>
      <w:bookmarkStart w:id="296" w:name="_Toc531944759"/>
      <w:bookmarkStart w:id="297" w:name="_Toc6748"/>
      <w:r>
        <w:rPr>
          <w:rFonts w:hint="eastAsia" w:ascii="楷体_GB2312" w:hAnsi="楷体_GB2312" w:eastAsia="楷体_GB2312" w:cs="楷体_GB2312"/>
          <w:b/>
          <w:color w:val="auto"/>
          <w:szCs w:val="24"/>
          <w:highlight w:val="none"/>
          <w:lang w:bidi="ar"/>
        </w:rPr>
        <w:t xml:space="preserve">第十六条  </w:t>
      </w:r>
      <w:bookmarkStart w:id="298" w:name="_Hlk104115595"/>
      <w:r>
        <w:rPr>
          <w:rFonts w:hint="eastAsia" w:ascii="楷体_GB2312" w:hAnsi="楷体_GB2312" w:eastAsia="楷体_GB2312" w:cs="楷体_GB2312"/>
          <w:b/>
          <w:color w:val="auto"/>
          <w:szCs w:val="24"/>
          <w:highlight w:val="none"/>
          <w:lang w:eastAsia="zh-Hans" w:bidi="ar"/>
        </w:rPr>
        <w:t>联合创新</w:t>
      </w:r>
      <w:r>
        <w:rPr>
          <w:rFonts w:hint="eastAsia" w:ascii="楷体_GB2312" w:hAnsi="楷体_GB2312" w:eastAsia="楷体_GB2312" w:cs="楷体_GB2312"/>
          <w:b/>
          <w:color w:val="auto"/>
          <w:szCs w:val="24"/>
          <w:highlight w:val="none"/>
          <w:lang w:bidi="ar"/>
        </w:rPr>
        <w:t>基金支持计划</w:t>
      </w:r>
      <w:bookmarkEnd w:id="296"/>
      <w:bookmarkEnd w:id="298"/>
    </w:p>
    <w:p>
      <w:pPr>
        <w:pStyle w:val="11"/>
        <w:widowControl/>
        <w:adjustRightInd w:val="0"/>
        <w:snapToGrid w:val="0"/>
        <w:spacing w:beforeAutospacing="0" w:after="0" w:afterAutospacing="0" w:line="560" w:lineRule="exact"/>
        <w:ind w:firstLine="640" w:firstLineChars="200"/>
        <w:jc w:val="both"/>
        <w:rPr>
          <w:rFonts w:hint="eastAsia" w:ascii="仿宋_GB2312" w:hAnsi="仿宋_GB2312" w:cs="仿宋_GB2312"/>
          <w:sz w:val="32"/>
          <w:szCs w:val="32"/>
          <w:highlight w:val="none"/>
        </w:rPr>
      </w:pPr>
      <w:r>
        <w:rPr>
          <w:rFonts w:hint="eastAsia" w:ascii="仿宋_GB2312" w:hAnsi="仿宋_GB2312" w:cs="仿宋_GB2312"/>
          <w:sz w:val="32"/>
          <w:szCs w:val="32"/>
          <w:highlight w:val="none"/>
        </w:rPr>
        <w:t>（一）</w:t>
      </w:r>
      <w:r>
        <w:rPr>
          <w:rFonts w:hint="eastAsia" w:ascii="仿宋_GB2312" w:hAnsi="仿宋_GB2312" w:cs="仿宋_GB2312"/>
          <w:sz w:val="32"/>
          <w:szCs w:val="32"/>
          <w:highlight w:val="none"/>
          <w:lang w:eastAsia="zh-Hans"/>
        </w:rPr>
        <w:t>支持区内企业联合国家自然科学基金委设立国家自然科学基金企业创新发展联合基金，对南山区内</w:t>
      </w:r>
      <w:bookmarkStart w:id="299" w:name="_Hlk104115627"/>
      <w:r>
        <w:rPr>
          <w:rFonts w:hint="eastAsia" w:ascii="仿宋_GB2312" w:hAnsi="仿宋_GB2312" w:cs="仿宋_GB2312"/>
          <w:sz w:val="32"/>
          <w:szCs w:val="32"/>
          <w:highlight w:val="none"/>
          <w:lang w:eastAsia="zh-Hans"/>
        </w:rPr>
        <w:t>参与设立企业创新发展联合基金的企业按照其每年实际出资额的</w:t>
      </w:r>
      <w:r>
        <w:rPr>
          <w:rFonts w:hint="eastAsia" w:ascii="仿宋_GB2312" w:hAnsi="仿宋_GB2312" w:cs="仿宋_GB2312"/>
          <w:sz w:val="32"/>
          <w:szCs w:val="32"/>
          <w:highlight w:val="none"/>
        </w:rPr>
        <w:t>50%给予奖励，每年奖励金额最高2000万元，连续奖励时间不超过3年</w:t>
      </w:r>
      <w:bookmarkEnd w:id="299"/>
      <w:r>
        <w:rPr>
          <w:rFonts w:hint="eastAsia" w:ascii="仿宋_GB2312" w:hAnsi="仿宋_GB2312" w:cs="仿宋_GB2312"/>
          <w:sz w:val="32"/>
          <w:szCs w:val="32"/>
          <w:highlight w:val="none"/>
        </w:rPr>
        <w:t>。</w:t>
      </w:r>
    </w:p>
    <w:p>
      <w:pPr>
        <w:pStyle w:val="11"/>
        <w:widowControl/>
        <w:adjustRightInd w:val="0"/>
        <w:snapToGrid w:val="0"/>
        <w:spacing w:beforeAutospacing="0" w:after="0" w:afterAutospacing="0" w:line="560" w:lineRule="exact"/>
        <w:ind w:firstLine="640" w:firstLineChars="200"/>
        <w:jc w:val="both"/>
        <w:rPr>
          <w:rFonts w:hint="eastAsia" w:ascii="仿宋_GB2312" w:hAnsi="仿宋_GB2312" w:cs="仿宋_GB2312"/>
          <w:sz w:val="32"/>
          <w:szCs w:val="32"/>
          <w:highlight w:val="none"/>
        </w:rPr>
      </w:pPr>
      <w:r>
        <w:rPr>
          <w:rFonts w:hint="eastAsia" w:ascii="仿宋_GB2312" w:hAnsi="仿宋_GB2312" w:cs="仿宋_GB2312"/>
          <w:sz w:val="32"/>
          <w:szCs w:val="32"/>
          <w:highlight w:val="none"/>
        </w:rPr>
        <w:t>（二）支持区内企业联合广东省科学技术厅、广东省基础与应用基础研究基金委员会设立广东省基础与应用基础研究基金企业联合基金，</w:t>
      </w:r>
      <w:bookmarkStart w:id="300" w:name="_Hlk104115671"/>
      <w:r>
        <w:rPr>
          <w:rFonts w:hint="eastAsia" w:ascii="仿宋_GB2312" w:hAnsi="仿宋_GB2312" w:cs="仿宋_GB2312"/>
          <w:sz w:val="32"/>
          <w:szCs w:val="32"/>
          <w:highlight w:val="none"/>
        </w:rPr>
        <w:t>对南山区内参与设立省企联合基金的企业按照其每年实际出资额的50%给予奖励，每年奖励金额最高1000万元，</w:t>
      </w:r>
      <w:bookmarkEnd w:id="300"/>
      <w:r>
        <w:rPr>
          <w:rFonts w:hint="eastAsia" w:ascii="仿宋_GB2312" w:hAnsi="仿宋_GB2312" w:cs="仿宋_GB2312"/>
          <w:sz w:val="32"/>
          <w:szCs w:val="32"/>
          <w:highlight w:val="none"/>
        </w:rPr>
        <w:t>连续奖励时间不超过3年。</w:t>
      </w:r>
    </w:p>
    <w:p>
      <w:pPr>
        <w:spacing w:after="0" w:line="240" w:lineRule="auto"/>
        <w:ind w:firstLine="640" w:firstLineChars="0"/>
        <w:outlineLvl w:val="9"/>
        <w:rPr>
          <w:rFonts w:hint="eastAsia" w:ascii="楷体_GB2312" w:hAnsi="楷体_GB2312" w:eastAsia="楷体_GB2312" w:cs="楷体_GB2312"/>
          <w:b/>
          <w:color w:val="auto"/>
          <w:szCs w:val="24"/>
          <w:highlight w:val="none"/>
          <w:lang w:bidi="ar"/>
        </w:rPr>
      </w:pPr>
      <w:bookmarkStart w:id="301" w:name="_Toc1258473822"/>
      <w:r>
        <w:rPr>
          <w:rFonts w:hint="eastAsia" w:ascii="楷体_GB2312" w:hAnsi="楷体_GB2312" w:eastAsia="楷体_GB2312" w:cs="楷体_GB2312"/>
          <w:b/>
          <w:color w:val="auto"/>
          <w:szCs w:val="24"/>
          <w:highlight w:val="none"/>
          <w:lang w:bidi="ar"/>
        </w:rPr>
        <w:t xml:space="preserve">第十七条  </w:t>
      </w:r>
      <w:bookmarkStart w:id="302" w:name="_Hlk104115696"/>
      <w:r>
        <w:rPr>
          <w:rFonts w:hint="eastAsia" w:ascii="楷体_GB2312" w:hAnsi="楷体_GB2312" w:eastAsia="楷体_GB2312" w:cs="楷体_GB2312"/>
          <w:b/>
          <w:color w:val="auto"/>
          <w:szCs w:val="24"/>
          <w:highlight w:val="none"/>
          <w:lang w:eastAsia="zh-Hans" w:bidi="ar"/>
        </w:rPr>
        <w:t>概念验证</w:t>
      </w:r>
      <w:r>
        <w:rPr>
          <w:rFonts w:hint="eastAsia" w:ascii="楷体_GB2312" w:hAnsi="楷体_GB2312" w:eastAsia="楷体_GB2312" w:cs="楷体_GB2312"/>
          <w:b/>
          <w:color w:val="auto"/>
          <w:szCs w:val="24"/>
          <w:highlight w:val="none"/>
          <w:lang w:bidi="ar"/>
        </w:rPr>
        <w:t>项目支持计划</w:t>
      </w:r>
      <w:bookmarkEnd w:id="301"/>
      <w:bookmarkEnd w:id="302"/>
    </w:p>
    <w:p>
      <w:pPr>
        <w:pStyle w:val="11"/>
        <w:widowControl/>
        <w:adjustRightInd w:val="0"/>
        <w:snapToGrid w:val="0"/>
        <w:spacing w:beforeAutospacing="0" w:after="0" w:afterAutospacing="0" w:line="560" w:lineRule="exact"/>
        <w:ind w:firstLine="640" w:firstLineChars="200"/>
        <w:jc w:val="both"/>
        <w:rPr>
          <w:rFonts w:hint="eastAsia" w:ascii="仿宋_GB2312" w:hAnsi="仿宋_GB2312" w:cs="仿宋_GB2312"/>
          <w:sz w:val="32"/>
          <w:szCs w:val="32"/>
          <w:highlight w:val="none"/>
        </w:rPr>
      </w:pPr>
      <w:r>
        <w:rPr>
          <w:rFonts w:hint="eastAsia" w:ascii="仿宋_GB2312" w:hAnsi="仿宋_GB2312" w:cs="仿宋_GB2312"/>
          <w:sz w:val="32"/>
          <w:szCs w:val="32"/>
          <w:highlight w:val="none"/>
          <w:lang w:eastAsia="zh-Hans"/>
        </w:rPr>
        <w:t>支持</w:t>
      </w:r>
      <w:bookmarkStart w:id="303" w:name="_Hlk104115803"/>
      <w:r>
        <w:rPr>
          <w:rFonts w:hint="eastAsia" w:ascii="仿宋_GB2312" w:hAnsi="仿宋_GB2312" w:cs="仿宋_GB2312"/>
          <w:sz w:val="32"/>
          <w:szCs w:val="32"/>
          <w:highlight w:val="none"/>
          <w:lang w:eastAsia="zh-Hans"/>
        </w:rPr>
        <w:t>区内高等院校</w:t>
      </w:r>
      <w:r>
        <w:rPr>
          <w:rFonts w:hint="eastAsia" w:ascii="仿宋_GB2312" w:hAnsi="仿宋_GB2312" w:cs="仿宋_GB2312"/>
          <w:sz w:val="32"/>
          <w:szCs w:val="32"/>
          <w:highlight w:val="none"/>
        </w:rPr>
        <w:t>、科研机构</w:t>
      </w:r>
      <w:bookmarkEnd w:id="303"/>
      <w:r>
        <w:rPr>
          <w:rFonts w:hint="eastAsia" w:ascii="仿宋_GB2312" w:hAnsi="仿宋_GB2312" w:cs="仿宋_GB2312"/>
          <w:sz w:val="32"/>
          <w:szCs w:val="32"/>
          <w:highlight w:val="none"/>
          <w:lang w:eastAsia="zh-Hans"/>
        </w:rPr>
        <w:t>设立概念验证中心（或创新验证中心），</w:t>
      </w:r>
      <w:bookmarkStart w:id="304" w:name="_Hlk104115795"/>
      <w:r>
        <w:rPr>
          <w:rFonts w:hint="eastAsia" w:ascii="仿宋_GB2312" w:hAnsi="仿宋_GB2312" w:cs="仿宋_GB2312"/>
          <w:sz w:val="32"/>
          <w:szCs w:val="32"/>
          <w:highlight w:val="none"/>
          <w:lang w:eastAsia="zh-Hans"/>
        </w:rPr>
        <w:t>对于开展概念验证（或“创新验证”）活动的</w:t>
      </w:r>
      <w:r>
        <w:rPr>
          <w:rFonts w:hint="eastAsia" w:ascii="仿宋_GB2312" w:hAnsi="仿宋_GB2312" w:cs="仿宋_GB2312"/>
          <w:sz w:val="32"/>
          <w:szCs w:val="32"/>
          <w:highlight w:val="none"/>
        </w:rPr>
        <w:t>单位</w:t>
      </w:r>
      <w:r>
        <w:rPr>
          <w:rFonts w:hint="eastAsia" w:ascii="仿宋_GB2312" w:hAnsi="仿宋_GB2312" w:cs="仿宋_GB2312"/>
          <w:sz w:val="32"/>
          <w:szCs w:val="32"/>
          <w:highlight w:val="none"/>
          <w:lang w:eastAsia="zh-Hans"/>
        </w:rPr>
        <w:t>，</w:t>
      </w:r>
      <w:r>
        <w:rPr>
          <w:rFonts w:hint="eastAsia" w:ascii="仿宋_GB2312" w:hAnsi="仿宋_GB2312" w:cs="仿宋_GB2312"/>
          <w:sz w:val="32"/>
          <w:szCs w:val="32"/>
          <w:highlight w:val="none"/>
          <w:lang w:eastAsia="zh-CN"/>
        </w:rPr>
        <w:t>经认定的</w:t>
      </w:r>
      <w:r>
        <w:rPr>
          <w:rFonts w:hint="eastAsia" w:ascii="仿宋_GB2312" w:hAnsi="仿宋_GB2312" w:cs="仿宋_GB2312"/>
          <w:sz w:val="32"/>
          <w:szCs w:val="32"/>
          <w:highlight w:val="none"/>
        </w:rPr>
        <w:t>每家单位每年最高奖励50万元</w:t>
      </w:r>
      <w:bookmarkEnd w:id="304"/>
      <w:r>
        <w:rPr>
          <w:rFonts w:hint="eastAsia" w:ascii="仿宋_GB2312" w:hAnsi="仿宋_GB2312" w:cs="仿宋_GB2312"/>
          <w:sz w:val="32"/>
          <w:szCs w:val="32"/>
          <w:highlight w:val="none"/>
        </w:rPr>
        <w:t>。</w:t>
      </w:r>
    </w:p>
    <w:p>
      <w:pPr>
        <w:spacing w:after="0" w:line="240" w:lineRule="auto"/>
        <w:ind w:firstLine="640" w:firstLineChars="0"/>
        <w:outlineLvl w:val="9"/>
        <w:rPr>
          <w:rFonts w:hint="eastAsia" w:ascii="楷体_GB2312" w:hAnsi="楷体_GB2312" w:eastAsia="楷体_GB2312" w:cs="楷体_GB2312"/>
          <w:b/>
          <w:color w:val="auto"/>
          <w:szCs w:val="24"/>
          <w:highlight w:val="none"/>
          <w:lang w:bidi="ar"/>
        </w:rPr>
      </w:pPr>
      <w:bookmarkStart w:id="305" w:name="_Toc1109245643"/>
      <w:r>
        <w:rPr>
          <w:rFonts w:hint="eastAsia" w:ascii="楷体_GB2312" w:hAnsi="楷体_GB2312" w:eastAsia="楷体_GB2312" w:cs="楷体_GB2312"/>
          <w:b/>
          <w:color w:val="auto"/>
          <w:szCs w:val="24"/>
          <w:highlight w:val="none"/>
          <w:lang w:bidi="ar"/>
        </w:rPr>
        <w:t xml:space="preserve">第十八条  </w:t>
      </w:r>
      <w:bookmarkStart w:id="306" w:name="_Hlk104115822"/>
      <w:r>
        <w:rPr>
          <w:rFonts w:hint="eastAsia" w:ascii="楷体_GB2312" w:hAnsi="楷体_GB2312" w:eastAsia="楷体_GB2312" w:cs="楷体_GB2312"/>
          <w:b/>
          <w:color w:val="auto"/>
          <w:szCs w:val="24"/>
          <w:highlight w:val="none"/>
          <w:lang w:bidi="ar"/>
        </w:rPr>
        <w:t>联合实验室支持计划</w:t>
      </w:r>
      <w:bookmarkEnd w:id="305"/>
      <w:bookmarkEnd w:id="306"/>
    </w:p>
    <w:p>
      <w:pPr>
        <w:pStyle w:val="11"/>
        <w:widowControl/>
        <w:adjustRightInd w:val="0"/>
        <w:snapToGrid w:val="0"/>
        <w:spacing w:beforeAutospacing="0" w:after="0" w:afterAutospacing="0" w:line="560" w:lineRule="exact"/>
        <w:ind w:firstLine="640" w:firstLineChars="200"/>
        <w:jc w:val="both"/>
        <w:rPr>
          <w:rFonts w:hint="eastAsia" w:ascii="仿宋_GB2312" w:hAnsi="仿宋_GB2312" w:cs="仿宋_GB2312"/>
          <w:sz w:val="32"/>
          <w:szCs w:val="32"/>
          <w:highlight w:val="none"/>
          <w:lang w:eastAsia="zh-Hans"/>
        </w:rPr>
      </w:pPr>
      <w:bookmarkStart w:id="307" w:name="_Hlk104115837"/>
      <w:r>
        <w:rPr>
          <w:rFonts w:hint="eastAsia" w:ascii="仿宋_GB2312" w:hAnsi="仿宋_GB2312" w:cs="仿宋_GB2312"/>
          <w:sz w:val="32"/>
          <w:szCs w:val="32"/>
          <w:highlight w:val="none"/>
          <w:lang w:eastAsia="zh-Hans"/>
        </w:rPr>
        <w:t>鼓励辖区企业、公立医院、高校成立联合实验室开展技术研发和人才培养，对上一年度成立的联合实验室，按实际出资方出资金额的30%给予资助，每家出资单位最高资助100万元。</w:t>
      </w:r>
    </w:p>
    <w:bookmarkEnd w:id="307"/>
    <w:p>
      <w:pPr>
        <w:spacing w:after="0" w:line="240" w:lineRule="auto"/>
        <w:ind w:firstLine="640" w:firstLineChars="0"/>
        <w:outlineLvl w:val="9"/>
        <w:rPr>
          <w:rFonts w:hint="eastAsia" w:ascii="楷体_GB2312" w:hAnsi="楷体_GB2312" w:eastAsia="楷体_GB2312" w:cs="楷体_GB2312"/>
          <w:b/>
          <w:color w:val="auto"/>
          <w:szCs w:val="24"/>
          <w:highlight w:val="none"/>
          <w:lang w:bidi="ar"/>
        </w:rPr>
      </w:pPr>
      <w:bookmarkStart w:id="308" w:name="_Toc738557469"/>
      <w:r>
        <w:rPr>
          <w:rFonts w:hint="eastAsia" w:ascii="楷体_GB2312" w:hAnsi="楷体_GB2312" w:eastAsia="楷体_GB2312" w:cs="楷体_GB2312"/>
          <w:b/>
          <w:color w:val="auto"/>
          <w:szCs w:val="24"/>
          <w:highlight w:val="none"/>
          <w:lang w:bidi="ar"/>
        </w:rPr>
        <w:t xml:space="preserve">第十九条  </w:t>
      </w:r>
      <w:bookmarkStart w:id="309" w:name="_Hlk104115871"/>
      <w:r>
        <w:rPr>
          <w:rFonts w:hint="eastAsia" w:ascii="楷体_GB2312" w:hAnsi="楷体_GB2312" w:eastAsia="楷体_GB2312" w:cs="楷体_GB2312"/>
          <w:b/>
          <w:color w:val="auto"/>
          <w:szCs w:val="24"/>
          <w:highlight w:val="none"/>
          <w:lang w:bidi="ar"/>
        </w:rPr>
        <w:t>仪器开放共享支持计划</w:t>
      </w:r>
      <w:bookmarkEnd w:id="308"/>
      <w:bookmarkEnd w:id="309"/>
    </w:p>
    <w:p>
      <w:pPr>
        <w:pStyle w:val="11"/>
        <w:widowControl/>
        <w:adjustRightInd w:val="0"/>
        <w:snapToGrid w:val="0"/>
        <w:spacing w:beforeAutospacing="0" w:after="0" w:afterAutospacing="0" w:line="560" w:lineRule="exact"/>
        <w:ind w:firstLine="640" w:firstLineChars="200"/>
        <w:jc w:val="both"/>
        <w:rPr>
          <w:rFonts w:hint="eastAsia" w:ascii="仿宋_GB2312" w:hAnsi="仿宋_GB2312" w:cs="仿宋_GB2312"/>
          <w:sz w:val="32"/>
          <w:szCs w:val="32"/>
          <w:highlight w:val="none"/>
          <w:lang w:eastAsia="zh-Hans"/>
        </w:rPr>
      </w:pPr>
      <w:bookmarkStart w:id="310" w:name="_Hlk104115879"/>
      <w:r>
        <w:rPr>
          <w:rFonts w:hint="eastAsia" w:ascii="仿宋_GB2312" w:hAnsi="仿宋_GB2312" w:cs="仿宋_GB2312"/>
          <w:sz w:val="32"/>
          <w:szCs w:val="32"/>
          <w:highlight w:val="none"/>
          <w:lang w:eastAsia="zh-Hans"/>
        </w:rPr>
        <w:t>鼓励辖区内高等学校、科研院所、企业和社会组织等建设的各类重点实验室、公共服务平台、分析测试中心等机构开展仪器设施开放共享，对辖区内上一年度认定通过的仪器共享示范机构，每家机构资助100万元</w:t>
      </w:r>
      <w:bookmarkEnd w:id="310"/>
      <w:r>
        <w:rPr>
          <w:rFonts w:hint="eastAsia" w:ascii="仿宋_GB2312" w:hAnsi="仿宋_GB2312" w:cs="仿宋_GB2312"/>
          <w:sz w:val="32"/>
          <w:szCs w:val="32"/>
          <w:highlight w:val="none"/>
          <w:lang w:eastAsia="zh-Hans"/>
        </w:rPr>
        <w:t>。</w:t>
      </w:r>
    </w:p>
    <w:p>
      <w:pPr>
        <w:spacing w:after="0" w:line="240" w:lineRule="auto"/>
        <w:ind w:firstLine="640" w:firstLineChars="0"/>
        <w:outlineLvl w:val="9"/>
        <w:rPr>
          <w:rFonts w:hint="eastAsia" w:ascii="楷体_GB2312" w:hAnsi="楷体_GB2312" w:eastAsia="楷体_GB2312" w:cs="楷体_GB2312"/>
          <w:b/>
          <w:color w:val="auto"/>
          <w:szCs w:val="24"/>
          <w:highlight w:val="none"/>
          <w:lang w:bidi="ar"/>
        </w:rPr>
      </w:pPr>
      <w:bookmarkStart w:id="311" w:name="_Toc1294912687"/>
      <w:r>
        <w:rPr>
          <w:rFonts w:hint="eastAsia" w:ascii="楷体_GB2312" w:hAnsi="楷体_GB2312" w:eastAsia="楷体_GB2312" w:cs="楷体_GB2312"/>
          <w:b/>
          <w:color w:val="auto"/>
          <w:szCs w:val="24"/>
          <w:highlight w:val="none"/>
          <w:lang w:bidi="ar"/>
        </w:rPr>
        <w:t xml:space="preserve">第二十条  </w:t>
      </w:r>
      <w:bookmarkStart w:id="312" w:name="_Hlk104115918"/>
      <w:r>
        <w:rPr>
          <w:rFonts w:hint="eastAsia" w:ascii="楷体_GB2312" w:hAnsi="楷体_GB2312" w:eastAsia="楷体_GB2312" w:cs="楷体_GB2312"/>
          <w:b/>
          <w:color w:val="auto"/>
          <w:szCs w:val="24"/>
          <w:highlight w:val="none"/>
          <w:lang w:bidi="ar"/>
        </w:rPr>
        <w:t>技术转移机构支持计划</w:t>
      </w:r>
      <w:bookmarkEnd w:id="311"/>
    </w:p>
    <w:bookmarkEnd w:id="312"/>
    <w:p>
      <w:pPr>
        <w:pStyle w:val="11"/>
        <w:widowControl/>
        <w:adjustRightInd w:val="0"/>
        <w:snapToGrid w:val="0"/>
        <w:spacing w:beforeAutospacing="0" w:after="0" w:afterAutospacing="0" w:line="560" w:lineRule="exact"/>
        <w:ind w:firstLine="640" w:firstLineChars="200"/>
        <w:jc w:val="both"/>
        <w:rPr>
          <w:rFonts w:hint="eastAsia" w:ascii="仿宋_GB2312" w:hAnsi="仿宋_GB2312" w:cs="仿宋_GB2312"/>
          <w:sz w:val="32"/>
          <w:szCs w:val="32"/>
          <w:highlight w:val="none"/>
          <w:lang w:eastAsia="zh-Hans"/>
        </w:rPr>
      </w:pPr>
      <w:bookmarkStart w:id="313" w:name="_Hlk104115926"/>
      <w:r>
        <w:rPr>
          <w:rFonts w:hint="eastAsia" w:ascii="仿宋_GB2312" w:hAnsi="仿宋_GB2312" w:cs="仿宋_GB2312"/>
          <w:sz w:val="32"/>
          <w:szCs w:val="32"/>
          <w:highlight w:val="none"/>
          <w:lang w:eastAsia="zh-Hans"/>
        </w:rPr>
        <w:t>对南山区内经市科技主管部门备案从事技术转移服务的高等院校、科研院所和专业服务机构，根据上一年度备案登记的技术交易总额、技术合同数量等参数给予综合考核，并根据考核结果分等级给予相应资助，每家最高资助100万元。</w:t>
      </w:r>
    </w:p>
    <w:p>
      <w:pPr>
        <w:spacing w:after="0" w:line="240" w:lineRule="auto"/>
        <w:ind w:firstLine="640" w:firstLineChars="0"/>
        <w:outlineLvl w:val="9"/>
        <w:rPr>
          <w:rFonts w:hint="eastAsia" w:ascii="楷体_GB2312" w:hAnsi="楷体_GB2312" w:eastAsia="楷体_GB2312" w:cs="楷体_GB2312"/>
          <w:b/>
          <w:color w:val="auto"/>
          <w:szCs w:val="24"/>
          <w:highlight w:val="none"/>
          <w:lang w:bidi="ar"/>
        </w:rPr>
      </w:pPr>
      <w:bookmarkStart w:id="314" w:name="_Toc1186167434"/>
      <w:r>
        <w:rPr>
          <w:rFonts w:hint="eastAsia" w:ascii="楷体_GB2312" w:hAnsi="楷体_GB2312" w:eastAsia="楷体_GB2312" w:cs="楷体_GB2312"/>
          <w:b/>
          <w:color w:val="auto"/>
          <w:szCs w:val="24"/>
          <w:highlight w:val="none"/>
          <w:lang w:bidi="ar"/>
        </w:rPr>
        <w:t>第二十</w:t>
      </w:r>
      <w:r>
        <w:rPr>
          <w:rFonts w:hint="eastAsia" w:ascii="楷体_GB2312" w:hAnsi="楷体_GB2312" w:eastAsia="楷体_GB2312" w:cs="楷体_GB2312"/>
          <w:b/>
          <w:color w:val="auto"/>
          <w:szCs w:val="24"/>
          <w:highlight w:val="none"/>
          <w:lang w:eastAsia="zh-CN" w:bidi="ar"/>
        </w:rPr>
        <w:t>一</w:t>
      </w:r>
      <w:r>
        <w:rPr>
          <w:rFonts w:hint="eastAsia" w:ascii="楷体_GB2312" w:hAnsi="楷体_GB2312" w:eastAsia="楷体_GB2312" w:cs="楷体_GB2312"/>
          <w:b/>
          <w:color w:val="auto"/>
          <w:szCs w:val="24"/>
          <w:highlight w:val="none"/>
          <w:lang w:bidi="ar"/>
        </w:rPr>
        <w:t>条  重大项目产业化支持计划</w:t>
      </w:r>
    </w:p>
    <w:p>
      <w:pPr>
        <w:pStyle w:val="11"/>
        <w:widowControl/>
        <w:adjustRightInd w:val="0"/>
        <w:snapToGrid w:val="0"/>
        <w:spacing w:beforeAutospacing="0" w:after="0" w:afterAutospacing="0" w:line="560" w:lineRule="exact"/>
        <w:ind w:firstLine="640" w:firstLineChars="200"/>
        <w:jc w:val="both"/>
        <w:rPr>
          <w:rFonts w:hint="eastAsia" w:ascii="仿宋_GB2312" w:hAnsi="仿宋_GB2312" w:cs="仿宋_GB2312"/>
          <w:sz w:val="32"/>
          <w:szCs w:val="32"/>
          <w:highlight w:val="none"/>
          <w:lang w:eastAsia="zh-Hans"/>
        </w:rPr>
      </w:pPr>
      <w:r>
        <w:rPr>
          <w:rFonts w:hint="eastAsia" w:ascii="仿宋_GB2312" w:hAnsi="仿宋_GB2312" w:cs="仿宋_GB2312"/>
          <w:sz w:val="32"/>
          <w:szCs w:val="32"/>
          <w:highlight w:val="none"/>
          <w:lang w:eastAsia="zh-Hans"/>
        </w:rPr>
        <w:t>鼓励国家重大科技项目所取得的研究成果在南山区开展产业化应用研究，经市科技主管部门立项并在南山区产业化的，按不超过项目获得市资助金额的50%给予资助，每个项目最高资助500万元 。</w:t>
      </w:r>
    </w:p>
    <w:p>
      <w:pPr>
        <w:spacing w:after="0" w:line="240" w:lineRule="auto"/>
        <w:ind w:firstLine="640" w:firstLineChars="0"/>
        <w:outlineLvl w:val="9"/>
        <w:rPr>
          <w:rFonts w:hint="eastAsia" w:ascii="楷体_GB2312" w:hAnsi="楷体_GB2312" w:eastAsia="楷体_GB2312" w:cs="楷体_GB2312"/>
          <w:b/>
          <w:color w:val="auto"/>
          <w:szCs w:val="24"/>
          <w:highlight w:val="none"/>
          <w:lang w:bidi="ar"/>
        </w:rPr>
      </w:pPr>
      <w:r>
        <w:rPr>
          <w:rFonts w:hint="eastAsia" w:ascii="楷体_GB2312" w:hAnsi="楷体_GB2312" w:eastAsia="楷体_GB2312" w:cs="楷体_GB2312"/>
          <w:b/>
          <w:color w:val="auto"/>
          <w:szCs w:val="24"/>
          <w:highlight w:val="none"/>
          <w:lang w:bidi="ar"/>
        </w:rPr>
        <w:t>第二十</w:t>
      </w:r>
      <w:r>
        <w:rPr>
          <w:rFonts w:hint="eastAsia" w:ascii="楷体_GB2312" w:hAnsi="楷体_GB2312" w:eastAsia="楷体_GB2312" w:cs="楷体_GB2312"/>
          <w:b/>
          <w:color w:val="auto"/>
          <w:szCs w:val="24"/>
          <w:highlight w:val="none"/>
          <w:lang w:eastAsia="zh-CN" w:bidi="ar"/>
        </w:rPr>
        <w:t>二</w:t>
      </w:r>
      <w:r>
        <w:rPr>
          <w:rFonts w:hint="eastAsia" w:ascii="楷体_GB2312" w:hAnsi="楷体_GB2312" w:eastAsia="楷体_GB2312" w:cs="楷体_GB2312"/>
          <w:b/>
          <w:color w:val="auto"/>
          <w:szCs w:val="24"/>
          <w:highlight w:val="none"/>
          <w:lang w:bidi="ar"/>
        </w:rPr>
        <w:t>条  科学技术奖励支持计划</w:t>
      </w:r>
    </w:p>
    <w:p>
      <w:pPr>
        <w:spacing w:after="0" w:line="560" w:lineRule="exact"/>
        <w:ind w:firstLine="640" w:firstLineChars="200"/>
        <w:rPr>
          <w:rFonts w:ascii="仿宋_GB2312" w:hAnsi="仿宋_GB2312" w:cs="仿宋_GB2312"/>
          <w:kern w:val="0"/>
          <w:szCs w:val="32"/>
          <w:highlight w:val="none"/>
        </w:rPr>
      </w:pPr>
      <w:r>
        <w:rPr>
          <w:rFonts w:hint="eastAsia" w:ascii="仿宋_GB2312" w:hAnsi="仿宋_GB2312" w:cs="仿宋_GB2312"/>
          <w:kern w:val="0"/>
          <w:szCs w:val="32"/>
          <w:highlight w:val="none"/>
        </w:rPr>
        <w:t>（一）对获得国家最高科学技术奖的奖励300万元；对获得国家自然科学奖、技术发明奖、科技进步奖的单位按照奖项类别、等级和名次最高奖励150万元。对获得广东省科学技术奖突出贡献奖的奖励200万元；对获得广东省自然科学奖、技术发明奖、科技进步奖的单位按照奖项类别、等级和名次最高奖励100万元。</w:t>
      </w:r>
    </w:p>
    <w:p>
      <w:pPr>
        <w:spacing w:after="0" w:line="560" w:lineRule="exact"/>
        <w:ind w:firstLine="640" w:firstLineChars="200"/>
        <w:rPr>
          <w:rFonts w:ascii="仿宋_GB2312" w:hAnsi="仿宋_GB2312" w:cs="仿宋_GB2312"/>
          <w:kern w:val="0"/>
          <w:szCs w:val="32"/>
          <w:highlight w:val="none"/>
        </w:rPr>
      </w:pPr>
      <w:r>
        <w:rPr>
          <w:rFonts w:hint="eastAsia" w:ascii="仿宋_GB2312" w:hAnsi="仿宋_GB2312" w:cs="仿宋_GB2312"/>
          <w:kern w:val="0"/>
          <w:szCs w:val="32"/>
          <w:highlight w:val="none"/>
        </w:rPr>
        <w:t>（二）对获得中国专利奖、广东省专利奖的单位按照奖励类别和等级最高奖励50万元。</w:t>
      </w:r>
    </w:p>
    <w:p>
      <w:pPr>
        <w:pStyle w:val="12"/>
        <w:ind w:firstLine="0" w:firstLineChars="0"/>
        <w:rPr>
          <w:highlight w:val="none"/>
        </w:rPr>
      </w:pPr>
    </w:p>
    <w:p>
      <w:pPr>
        <w:spacing w:after="0" w:line="560" w:lineRule="exact"/>
        <w:jc w:val="center"/>
        <w:outlineLvl w:val="0"/>
        <w:rPr>
          <w:rFonts w:hint="eastAsia" w:ascii="黑体" w:hAnsi="Times New Roman" w:eastAsia="黑体" w:cs="Times New Roman"/>
          <w:color w:val="000000"/>
          <w:szCs w:val="32"/>
          <w:highlight w:val="none"/>
        </w:rPr>
      </w:pPr>
      <w:r>
        <w:rPr>
          <w:rFonts w:hint="eastAsia" w:ascii="黑体" w:hAnsi="Times New Roman" w:eastAsia="黑体" w:cs="Times New Roman"/>
          <w:color w:val="000000"/>
          <w:szCs w:val="32"/>
          <w:highlight w:val="none"/>
        </w:rPr>
        <w:t>第五章</w:t>
      </w:r>
      <w:r>
        <w:rPr>
          <w:rFonts w:hint="eastAsia" w:ascii="黑体" w:eastAsia="黑体" w:cs="Times New Roman"/>
          <w:color w:val="000000"/>
          <w:szCs w:val="32"/>
          <w:highlight w:val="none"/>
          <w:lang w:val="en-US" w:eastAsia="zh-CN"/>
        </w:rPr>
        <w:t xml:space="preserve">  </w:t>
      </w:r>
      <w:r>
        <w:rPr>
          <w:rFonts w:hint="eastAsia" w:ascii="黑体" w:hAnsi="Times New Roman" w:eastAsia="黑体" w:cs="Times New Roman"/>
          <w:color w:val="000000"/>
          <w:szCs w:val="32"/>
          <w:highlight w:val="none"/>
        </w:rPr>
        <w:t>育成</w:t>
      </w:r>
      <w:r>
        <w:rPr>
          <w:rFonts w:hint="eastAsia" w:ascii="黑体" w:hAnsi="Times New Roman" w:eastAsia="黑体" w:cs="Times New Roman"/>
          <w:color w:val="000000"/>
          <w:szCs w:val="32"/>
          <w:highlight w:val="none"/>
          <w:lang w:eastAsia="zh-CN"/>
        </w:rPr>
        <w:t>示范</w:t>
      </w:r>
      <w:r>
        <w:rPr>
          <w:rFonts w:hint="eastAsia" w:ascii="黑体" w:hAnsi="Times New Roman" w:eastAsia="黑体" w:cs="Times New Roman"/>
          <w:color w:val="000000"/>
          <w:szCs w:val="32"/>
          <w:highlight w:val="none"/>
        </w:rPr>
        <w:t>体系建设专项</w:t>
      </w:r>
    </w:p>
    <w:p>
      <w:pPr>
        <w:spacing w:after="0" w:line="560" w:lineRule="exact"/>
        <w:ind w:firstLine="643" w:firstLineChars="200"/>
        <w:rPr>
          <w:rFonts w:ascii="仿宋_GB2312" w:hAnsi="仿宋_GB2312" w:cs="仿宋_GB2312"/>
          <w:b/>
          <w:bCs/>
          <w:kern w:val="0"/>
          <w:szCs w:val="32"/>
          <w:highlight w:val="none"/>
        </w:rPr>
      </w:pPr>
    </w:p>
    <w:p>
      <w:pPr>
        <w:adjustRightInd/>
        <w:snapToGrid/>
        <w:spacing w:after="0" w:line="240" w:lineRule="auto"/>
        <w:ind w:firstLine="640" w:firstLineChars="0"/>
        <w:outlineLvl w:val="9"/>
        <w:rPr>
          <w:rFonts w:hint="eastAsia" w:ascii="楷体_GB2312" w:hAnsi="楷体_GB2312" w:eastAsia="楷体_GB2312" w:cs="楷体_GB2312"/>
          <w:b/>
          <w:color w:val="auto"/>
          <w:szCs w:val="24"/>
          <w:highlight w:val="none"/>
          <w:lang w:bidi="ar"/>
        </w:rPr>
      </w:pPr>
      <w:r>
        <w:rPr>
          <w:rFonts w:hint="eastAsia" w:ascii="楷体_GB2312" w:hAnsi="楷体_GB2312" w:eastAsia="楷体_GB2312" w:cs="楷体_GB2312"/>
          <w:b/>
          <w:color w:val="auto"/>
          <w:szCs w:val="24"/>
          <w:highlight w:val="none"/>
          <w:lang w:bidi="ar"/>
        </w:rPr>
        <w:t>第二十</w:t>
      </w:r>
      <w:r>
        <w:rPr>
          <w:rFonts w:hint="eastAsia" w:ascii="楷体_GB2312" w:hAnsi="楷体_GB2312" w:eastAsia="楷体_GB2312" w:cs="楷体_GB2312"/>
          <w:b/>
          <w:color w:val="auto"/>
          <w:szCs w:val="24"/>
          <w:highlight w:val="none"/>
          <w:lang w:eastAsia="zh-CN" w:bidi="ar"/>
        </w:rPr>
        <w:t>三</w:t>
      </w:r>
      <w:r>
        <w:rPr>
          <w:rFonts w:hint="eastAsia" w:ascii="楷体_GB2312" w:hAnsi="楷体_GB2312" w:eastAsia="楷体_GB2312" w:cs="楷体_GB2312"/>
          <w:b/>
          <w:color w:val="auto"/>
          <w:szCs w:val="24"/>
          <w:highlight w:val="none"/>
          <w:lang w:bidi="ar"/>
        </w:rPr>
        <w:t>条  科技孵化育成空间支持计划</w:t>
      </w:r>
    </w:p>
    <w:p>
      <w:pPr>
        <w:widowControl/>
        <w:spacing w:after="0" w:line="240" w:lineRule="auto"/>
        <w:ind w:firstLine="880" w:firstLineChars="0"/>
        <w:rPr>
          <w:rFonts w:hint="eastAsia" w:ascii="仿宋_GB2312" w:hAnsi="Times New Roman" w:eastAsia="仿宋_GB2312" w:cs="Times New Roman"/>
          <w:b/>
          <w:bCs w:val="0"/>
          <w:color w:val="auto"/>
          <w:szCs w:val="24"/>
          <w:highlight w:val="none"/>
          <w:shd w:val="clear" w:color="auto" w:fill="auto"/>
          <w:lang w:bidi="ar"/>
        </w:rPr>
      </w:pPr>
      <w:r>
        <w:rPr>
          <w:rFonts w:hint="eastAsia" w:ascii="仿宋_GB2312" w:hAnsi="Times New Roman" w:eastAsia="仿宋_GB2312" w:cs="Times New Roman"/>
          <w:b/>
          <w:bCs w:val="0"/>
          <w:color w:val="auto"/>
          <w:szCs w:val="24"/>
          <w:highlight w:val="none"/>
          <w:shd w:val="clear" w:color="auto" w:fill="auto"/>
          <w:lang w:bidi="ar"/>
        </w:rPr>
        <w:t>（一）孵化载体建设支持</w:t>
      </w:r>
    </w:p>
    <w:p>
      <w:pPr>
        <w:spacing w:after="0" w:line="560" w:lineRule="exact"/>
        <w:ind w:firstLine="640" w:firstLineChars="200"/>
        <w:rPr>
          <w:rFonts w:hint="eastAsia" w:ascii="仿宋_GB2312" w:hAnsi="仿宋_GB2312" w:cs="仿宋_GB2312"/>
          <w:bCs/>
          <w:szCs w:val="32"/>
          <w:highlight w:val="none"/>
        </w:rPr>
      </w:pPr>
      <w:r>
        <w:rPr>
          <w:rFonts w:hint="default" w:ascii="仿宋_GB2312" w:hAnsi="仿宋_GB2312" w:cs="仿宋_GB2312"/>
          <w:bCs/>
          <w:szCs w:val="32"/>
          <w:highlight w:val="none"/>
        </w:rPr>
        <w:t>1.</w:t>
      </w:r>
      <w:r>
        <w:rPr>
          <w:rFonts w:hint="eastAsia" w:ascii="仿宋_GB2312" w:hAnsi="仿宋_GB2312" w:cs="仿宋_GB2312"/>
          <w:bCs/>
          <w:szCs w:val="32"/>
          <w:highlight w:val="none"/>
        </w:rPr>
        <w:t>对上一年度新增认定的国家级、省级、市级科技企业孵化器、众创空间，根据孵化条件、服务能力、孵化成效等综合考评结果，对其运营主体一次性分别给予100万元、60万元、30万元，以及50万元、30万元、20万元奖励。科技企业加速器、大学科技园按照科技企业孵化器奖励标准执行。</w:t>
      </w:r>
    </w:p>
    <w:p>
      <w:pPr>
        <w:spacing w:after="0" w:line="560" w:lineRule="exact"/>
        <w:ind w:firstLine="640" w:firstLineChars="200"/>
        <w:rPr>
          <w:rFonts w:hint="eastAsia" w:ascii="仿宋_GB2312" w:hAnsi="仿宋_GB2312" w:cs="仿宋_GB2312"/>
          <w:bCs/>
          <w:szCs w:val="32"/>
          <w:highlight w:val="none"/>
        </w:rPr>
      </w:pPr>
      <w:r>
        <w:rPr>
          <w:rFonts w:hint="eastAsia" w:ascii="仿宋_GB2312" w:hAnsi="仿宋_GB2312" w:cs="仿宋_GB2312"/>
          <w:bCs/>
          <w:szCs w:val="32"/>
          <w:highlight w:val="none"/>
        </w:rPr>
        <w:t>2.鼓励龙头企业、新锐行业服务机构、知名金融机构、头部创投机构等单位设立科技企业孵化器、众创空间，发挥产业资源和金融投资服务优势，集聚优质创业项目，经区科技主管部门评审通过后，每年每机构最高资助300万元，连续不超过3年。</w:t>
      </w:r>
    </w:p>
    <w:p>
      <w:pPr>
        <w:spacing w:after="0" w:line="560" w:lineRule="exact"/>
        <w:ind w:firstLine="640" w:firstLineChars="200"/>
        <w:rPr>
          <w:rFonts w:hint="eastAsia"/>
          <w:highlight w:val="none"/>
        </w:rPr>
      </w:pPr>
      <w:r>
        <w:rPr>
          <w:rFonts w:hint="eastAsia" w:ascii="仿宋_GB2312" w:hAnsi="仿宋_GB2312" w:cs="仿宋_GB2312"/>
          <w:bCs/>
          <w:szCs w:val="32"/>
          <w:highlight w:val="none"/>
        </w:rPr>
        <w:t>同一申报主体</w:t>
      </w:r>
      <w:r>
        <w:rPr>
          <w:rFonts w:hint="eastAsia" w:ascii="仿宋_GB2312"/>
          <w:szCs w:val="32"/>
          <w:highlight w:val="none"/>
        </w:rPr>
        <w:t>按照就高不就低原则，不重复支持</w:t>
      </w:r>
      <w:r>
        <w:rPr>
          <w:rFonts w:hint="eastAsia" w:ascii="仿宋_GB2312" w:hAnsi="仿宋_GB2312" w:cs="仿宋_GB2312"/>
          <w:bCs/>
          <w:szCs w:val="32"/>
          <w:highlight w:val="none"/>
        </w:rPr>
        <w:t>。</w:t>
      </w:r>
    </w:p>
    <w:p>
      <w:pPr>
        <w:widowControl/>
        <w:spacing w:line="240" w:lineRule="auto"/>
        <w:ind w:firstLine="880" w:firstLineChars="0"/>
        <w:rPr>
          <w:rFonts w:hint="eastAsia" w:ascii="仿宋_GB2312" w:hAnsi="Times New Roman" w:eastAsia="仿宋_GB2312" w:cs="Times New Roman"/>
          <w:b/>
          <w:color w:val="auto"/>
          <w:highlight w:val="none"/>
          <w:shd w:val="clear" w:color="auto" w:fill="auto"/>
          <w:lang w:bidi="ar"/>
        </w:rPr>
      </w:pPr>
      <w:r>
        <w:rPr>
          <w:rFonts w:hint="eastAsia" w:ascii="仿宋_GB2312" w:hAnsi="Times New Roman" w:eastAsia="仿宋_GB2312" w:cs="Times New Roman"/>
          <w:b/>
          <w:bCs w:val="0"/>
          <w:color w:val="auto"/>
          <w:kern w:val="2"/>
          <w:sz w:val="32"/>
          <w:szCs w:val="24"/>
          <w:highlight w:val="none"/>
          <w:shd w:val="clear" w:color="auto" w:fill="auto"/>
          <w:lang w:val="en-US" w:eastAsia="zh-CN" w:bidi="ar"/>
        </w:rPr>
        <w:t>（二）孵化载体运营支持</w:t>
      </w:r>
    </w:p>
    <w:p>
      <w:pPr>
        <w:spacing w:after="0" w:line="560" w:lineRule="exact"/>
        <w:ind w:firstLine="640" w:firstLineChars="200"/>
        <w:rPr>
          <w:rFonts w:hint="eastAsia" w:ascii="仿宋_GB2312" w:hAnsi="仿宋_GB2312" w:cs="仿宋_GB2312"/>
          <w:bCs/>
          <w:szCs w:val="32"/>
          <w:highlight w:val="none"/>
        </w:rPr>
      </w:pPr>
      <w:r>
        <w:rPr>
          <w:rFonts w:hint="eastAsia" w:ascii="仿宋_GB2312" w:hAnsi="仿宋_GB2312" w:cs="仿宋_GB2312"/>
          <w:bCs/>
          <w:szCs w:val="32"/>
          <w:highlight w:val="none"/>
        </w:rPr>
        <w:t>对上一年度公示的国家级、省级、市级运营评价优秀评级的科技企业孵化器、众创空间分别给予30万元、20万元、15万元，以及20万、15万元、10万元奖励。同一申报主体按照就高不就低原则，不重复支持。</w:t>
      </w:r>
    </w:p>
    <w:p>
      <w:pPr>
        <w:adjustRightInd/>
        <w:snapToGrid/>
        <w:spacing w:after="0" w:line="240" w:lineRule="auto"/>
        <w:ind w:firstLine="640" w:firstLineChars="0"/>
        <w:outlineLvl w:val="9"/>
        <w:rPr>
          <w:rFonts w:hint="eastAsia" w:ascii="楷体_GB2312" w:hAnsi="楷体_GB2312" w:eastAsia="楷体_GB2312" w:cs="楷体_GB2312"/>
          <w:b/>
          <w:color w:val="auto"/>
          <w:szCs w:val="24"/>
          <w:highlight w:val="none"/>
          <w:lang w:bidi="ar"/>
        </w:rPr>
      </w:pPr>
      <w:r>
        <w:rPr>
          <w:rFonts w:hint="eastAsia" w:ascii="楷体_GB2312" w:hAnsi="楷体_GB2312" w:eastAsia="楷体_GB2312" w:cs="楷体_GB2312"/>
          <w:b/>
          <w:color w:val="auto"/>
          <w:szCs w:val="24"/>
          <w:highlight w:val="none"/>
          <w:lang w:bidi="ar"/>
        </w:rPr>
        <w:t>第二十</w:t>
      </w:r>
      <w:r>
        <w:rPr>
          <w:rFonts w:hint="eastAsia" w:ascii="楷体_GB2312" w:hAnsi="楷体_GB2312" w:eastAsia="楷体_GB2312" w:cs="楷体_GB2312"/>
          <w:b/>
          <w:color w:val="auto"/>
          <w:szCs w:val="24"/>
          <w:highlight w:val="none"/>
          <w:lang w:eastAsia="zh-CN" w:bidi="ar"/>
        </w:rPr>
        <w:t>四</w:t>
      </w:r>
      <w:r>
        <w:rPr>
          <w:rFonts w:hint="eastAsia" w:ascii="楷体_GB2312" w:hAnsi="楷体_GB2312" w:eastAsia="楷体_GB2312" w:cs="楷体_GB2312"/>
          <w:b/>
          <w:color w:val="auto"/>
          <w:szCs w:val="24"/>
          <w:highlight w:val="none"/>
          <w:lang w:bidi="ar"/>
        </w:rPr>
        <w:t xml:space="preserve">条 </w:t>
      </w:r>
      <w:r>
        <w:rPr>
          <w:rFonts w:hint="eastAsia" w:ascii="楷体_GB2312" w:hAnsi="楷体_GB2312" w:eastAsia="楷体_GB2312" w:cs="楷体_GB2312"/>
          <w:b/>
          <w:color w:val="auto"/>
          <w:szCs w:val="24"/>
          <w:highlight w:val="none"/>
          <w:lang w:val="en-US" w:eastAsia="zh-CN" w:bidi="ar"/>
        </w:rPr>
        <w:t xml:space="preserve"> 首次创新应用支持计划</w:t>
      </w:r>
    </w:p>
    <w:p>
      <w:pPr>
        <w:widowControl/>
        <w:spacing w:line="240" w:lineRule="auto"/>
        <w:ind w:firstLine="643" w:firstLineChars="200"/>
        <w:rPr>
          <w:rFonts w:hint="eastAsia" w:ascii="仿宋_GB2312" w:hAnsi="Times New Roman" w:eastAsia="仿宋_GB2312" w:cs="Times New Roman"/>
          <w:b/>
          <w:color w:val="auto"/>
          <w:kern w:val="2"/>
          <w:sz w:val="32"/>
          <w:szCs w:val="24"/>
          <w:highlight w:val="none"/>
          <w:shd w:val="clear" w:color="auto" w:fill="auto"/>
          <w:lang w:val="en-US" w:eastAsia="zh-CN" w:bidi="ar"/>
        </w:rPr>
      </w:pPr>
      <w:r>
        <w:rPr>
          <w:rFonts w:hint="eastAsia" w:ascii="仿宋_GB2312" w:cs="Times New Roman"/>
          <w:b/>
          <w:color w:val="auto"/>
          <w:kern w:val="2"/>
          <w:sz w:val="32"/>
          <w:szCs w:val="24"/>
          <w:highlight w:val="none"/>
          <w:shd w:val="clear" w:color="auto" w:fill="auto"/>
          <w:lang w:val="en-US" w:eastAsia="zh-CN" w:bidi="ar"/>
        </w:rPr>
        <w:t>（一）</w:t>
      </w:r>
      <w:r>
        <w:rPr>
          <w:rFonts w:hint="eastAsia" w:ascii="仿宋_GB2312" w:hAnsi="Times New Roman" w:eastAsia="仿宋_GB2312" w:cs="Times New Roman"/>
          <w:b/>
          <w:color w:val="auto"/>
          <w:kern w:val="2"/>
          <w:sz w:val="32"/>
          <w:szCs w:val="24"/>
          <w:highlight w:val="none"/>
          <w:shd w:val="clear" w:color="auto" w:fill="auto"/>
          <w:lang w:val="en-US" w:eastAsia="zh-CN" w:bidi="ar"/>
        </w:rPr>
        <w:t>芯片首购首用支持</w:t>
      </w:r>
    </w:p>
    <w:p>
      <w:pPr>
        <w:spacing w:after="0" w:line="560" w:lineRule="exact"/>
        <w:ind w:firstLine="640" w:firstLineChars="200"/>
        <w:rPr>
          <w:rFonts w:hint="eastAsia" w:ascii="仿宋_GB2312" w:hAnsi="仿宋_GB2312" w:cs="仿宋_GB2312"/>
          <w:bCs/>
          <w:szCs w:val="32"/>
          <w:highlight w:val="none"/>
        </w:rPr>
      </w:pPr>
      <w:r>
        <w:rPr>
          <w:rFonts w:hint="eastAsia" w:ascii="仿宋_GB2312" w:hAnsi="仿宋_GB2312" w:cs="仿宋_GB2312"/>
          <w:bCs/>
          <w:szCs w:val="32"/>
          <w:highlight w:val="none"/>
        </w:rPr>
        <w:t>支持本辖区整机和集成电路设计企业联动发展。对南山区整机企业首购首用本辖区集成电路设计企业自主开发的芯片，按照上一年度采购金额20%给予奖励，每家企业每年最高奖励50万元。</w:t>
      </w:r>
    </w:p>
    <w:p>
      <w:pPr>
        <w:widowControl/>
        <w:numPr>
          <w:ilvl w:val="-1"/>
          <w:numId w:val="0"/>
        </w:numPr>
        <w:spacing w:after="0" w:line="240" w:lineRule="auto"/>
        <w:ind w:left="0" w:leftChars="0" w:firstLine="643" w:firstLineChars="200"/>
        <w:outlineLvl w:val="9"/>
        <w:rPr>
          <w:rFonts w:hint="eastAsia" w:ascii="仿宋_GB2312" w:hAnsi="Times New Roman" w:eastAsia="仿宋_GB2312" w:cs="Times New Roman"/>
          <w:b/>
          <w:color w:val="auto"/>
          <w:kern w:val="2"/>
          <w:sz w:val="32"/>
          <w:szCs w:val="24"/>
          <w:highlight w:val="none"/>
          <w:shd w:val="clear" w:color="auto" w:fill="auto"/>
          <w:lang w:val="en-US" w:eastAsia="zh-CN" w:bidi="ar"/>
        </w:rPr>
      </w:pPr>
      <w:r>
        <w:rPr>
          <w:rFonts w:hint="eastAsia" w:ascii="仿宋_GB2312" w:hAnsi="Times New Roman" w:cs="Times New Roman"/>
          <w:b/>
          <w:color w:val="auto"/>
          <w:kern w:val="2"/>
          <w:sz w:val="32"/>
          <w:szCs w:val="24"/>
          <w:highlight w:val="none"/>
          <w:shd w:val="clear" w:color="auto" w:fill="auto"/>
          <w:lang w:val="en-US" w:eastAsia="zh-CN" w:bidi="ar"/>
        </w:rPr>
        <w:t>（二）</w:t>
      </w:r>
      <w:r>
        <w:rPr>
          <w:rFonts w:hint="eastAsia" w:ascii="仿宋_GB2312" w:hAnsi="Times New Roman" w:eastAsia="仿宋_GB2312" w:cs="Times New Roman"/>
          <w:b/>
          <w:color w:val="auto"/>
          <w:kern w:val="2"/>
          <w:sz w:val="32"/>
          <w:szCs w:val="24"/>
          <w:highlight w:val="none"/>
          <w:shd w:val="clear" w:color="auto" w:fill="auto"/>
          <w:lang w:val="en-US" w:eastAsia="zh-CN" w:bidi="ar"/>
        </w:rPr>
        <w:t>“首版次”软件产品支持</w:t>
      </w:r>
    </w:p>
    <w:p>
      <w:pPr>
        <w:spacing w:after="0" w:line="560" w:lineRule="exact"/>
        <w:ind w:firstLine="640" w:firstLineChars="200"/>
        <w:rPr>
          <w:rFonts w:hint="default" w:ascii="仿宋_GB2312" w:hAnsi="仿宋_GB2312" w:cs="仿宋_GB2312"/>
          <w:bCs/>
          <w:szCs w:val="32"/>
          <w:highlight w:val="none"/>
        </w:rPr>
      </w:pPr>
      <w:r>
        <w:rPr>
          <w:rFonts w:hint="default" w:ascii="仿宋_GB2312" w:hAnsi="仿宋_GB2312" w:cs="仿宋_GB2312"/>
          <w:bCs/>
          <w:szCs w:val="32"/>
          <w:highlight w:val="none"/>
        </w:rPr>
        <w:t>支持企业推广应用《南山区首版次软件指导目录》内的产品。对取得目录产品软件著作权且完成第三方检测的规模以上重点服务业企业，按照每个目录产品3万元，给予单个企业每年最高15万元资助。对目录产品自取得软件著作权之日起一年内销售收入累计到账额不低于50万元的，按照不超过目录产品任意三份销售合同金额的30%，给予单个企业每年最高150万元资助。本条款执行资金总量控制。</w:t>
      </w:r>
    </w:p>
    <w:p>
      <w:pPr>
        <w:spacing w:line="240" w:lineRule="auto"/>
        <w:ind w:firstLine="643" w:firstLineChars="200"/>
        <w:outlineLvl w:val="9"/>
        <w:rPr>
          <w:rFonts w:hint="eastAsia" w:ascii="楷体_GB2312" w:hAnsi="楷体_GB2312" w:eastAsia="楷体_GB2312" w:cs="楷体_GB2312"/>
          <w:b/>
          <w:color w:val="auto"/>
          <w:kern w:val="2"/>
          <w:sz w:val="32"/>
          <w:szCs w:val="24"/>
          <w:highlight w:val="none"/>
          <w:lang w:val="en-US" w:eastAsia="zh-CN" w:bidi="ar"/>
        </w:rPr>
      </w:pPr>
      <w:r>
        <w:rPr>
          <w:rFonts w:hint="eastAsia" w:ascii="楷体_GB2312" w:hAnsi="楷体_GB2312" w:eastAsia="楷体_GB2312" w:cs="楷体_GB2312"/>
          <w:b/>
          <w:color w:val="auto"/>
          <w:kern w:val="2"/>
          <w:sz w:val="32"/>
          <w:szCs w:val="24"/>
          <w:highlight w:val="none"/>
          <w:lang w:val="en-US" w:eastAsia="zh-CN" w:bidi="ar"/>
        </w:rPr>
        <w:t>第二十五条  科技应用示范支持计划</w:t>
      </w:r>
    </w:p>
    <w:p>
      <w:pPr>
        <w:spacing w:after="0" w:line="560" w:lineRule="exact"/>
        <w:ind w:firstLine="640" w:firstLineChars="200"/>
        <w:rPr>
          <w:rFonts w:hint="default" w:ascii="仿宋_GB2312" w:hAnsi="仿宋_GB2312" w:cs="仿宋_GB2312"/>
          <w:bCs/>
          <w:szCs w:val="32"/>
          <w:highlight w:val="none"/>
          <w:lang w:val="en-US" w:eastAsia="zh-CN"/>
        </w:rPr>
      </w:pPr>
      <w:r>
        <w:rPr>
          <w:rFonts w:hint="eastAsia" w:ascii="仿宋_GB2312" w:hAnsi="仿宋_GB2312" w:cs="仿宋_GB2312"/>
          <w:bCs/>
          <w:szCs w:val="32"/>
          <w:highlight w:val="none"/>
          <w:lang w:val="en-US" w:eastAsia="zh-CN"/>
        </w:rPr>
        <w:t>鼓励辖区企事业单位在战略性新兴产业、未来产业领域开展创新研发活动，对其拥有的自主知识产权科技成果，如新技术、新产品等在公共服务领域进行推广的应用示范项目进行资助。</w:t>
      </w:r>
      <w:r>
        <w:rPr>
          <w:rFonts w:hint="eastAsia" w:ascii="仿宋_GB2312" w:hAnsi="仿宋_GB2312" w:cs="仿宋_GB2312"/>
          <w:bCs/>
          <w:szCs w:val="32"/>
          <w:highlight w:val="none"/>
        </w:rPr>
        <w:t>经区科技主管部门评审通过后</w:t>
      </w:r>
      <w:r>
        <w:rPr>
          <w:rFonts w:hint="eastAsia" w:ascii="仿宋_GB2312" w:hAnsi="仿宋_GB2312" w:cs="仿宋_GB2312"/>
          <w:bCs/>
          <w:szCs w:val="32"/>
          <w:highlight w:val="none"/>
          <w:lang w:eastAsia="zh-Hans"/>
        </w:rPr>
        <w:t>，</w:t>
      </w:r>
      <w:r>
        <w:rPr>
          <w:rFonts w:hint="eastAsia" w:ascii="仿宋_GB2312" w:hAnsi="仿宋_GB2312" w:cs="仿宋_GB2312"/>
          <w:bCs/>
          <w:szCs w:val="32"/>
          <w:highlight w:val="none"/>
        </w:rPr>
        <w:t>每</w:t>
      </w:r>
      <w:r>
        <w:rPr>
          <w:rFonts w:hint="eastAsia" w:ascii="仿宋_GB2312" w:hAnsi="仿宋_GB2312" w:cs="仿宋_GB2312"/>
          <w:bCs/>
          <w:szCs w:val="32"/>
          <w:highlight w:val="none"/>
          <w:lang w:eastAsia="zh-CN"/>
        </w:rPr>
        <w:t>个项目</w:t>
      </w:r>
      <w:r>
        <w:rPr>
          <w:rFonts w:hint="eastAsia" w:ascii="仿宋_GB2312" w:hAnsi="仿宋_GB2312" w:cs="仿宋_GB2312"/>
          <w:bCs/>
          <w:szCs w:val="32"/>
          <w:highlight w:val="none"/>
        </w:rPr>
        <w:t>最高资助</w:t>
      </w:r>
      <w:r>
        <w:rPr>
          <w:rFonts w:hint="eastAsia" w:ascii="仿宋_GB2312" w:hAnsi="仿宋_GB2312" w:cs="仿宋_GB2312"/>
          <w:bCs/>
          <w:szCs w:val="32"/>
          <w:highlight w:val="none"/>
          <w:lang w:val="en-US" w:eastAsia="zh-CN"/>
        </w:rPr>
        <w:t>3</w:t>
      </w:r>
      <w:r>
        <w:rPr>
          <w:rFonts w:hint="eastAsia" w:ascii="仿宋_GB2312" w:hAnsi="仿宋_GB2312" w:cs="仿宋_GB2312"/>
          <w:bCs/>
          <w:szCs w:val="32"/>
          <w:highlight w:val="none"/>
        </w:rPr>
        <w:t>00万元。</w:t>
      </w:r>
    </w:p>
    <w:p>
      <w:pPr>
        <w:spacing w:after="0" w:line="240" w:lineRule="auto"/>
        <w:ind w:firstLine="643" w:firstLineChars="200"/>
        <w:outlineLvl w:val="9"/>
        <w:rPr>
          <w:rFonts w:hint="eastAsia" w:ascii="楷体_GB2312" w:hAnsi="楷体_GB2312" w:eastAsia="楷体_GB2312" w:cs="楷体_GB2312"/>
          <w:b/>
          <w:bCs w:val="0"/>
          <w:color w:val="auto"/>
          <w:szCs w:val="24"/>
          <w:highlight w:val="none"/>
          <w:lang w:bidi="ar"/>
        </w:rPr>
      </w:pPr>
      <w:r>
        <w:rPr>
          <w:rFonts w:hint="eastAsia" w:ascii="楷体_GB2312" w:hAnsi="楷体_GB2312" w:eastAsia="楷体_GB2312" w:cs="楷体_GB2312"/>
          <w:b/>
          <w:color w:val="auto"/>
          <w:szCs w:val="24"/>
          <w:highlight w:val="none"/>
          <w:lang w:bidi="ar"/>
        </w:rPr>
        <w:t>第二十六条  深港澳台创新合作支持计划</w:t>
      </w:r>
    </w:p>
    <w:p>
      <w:pPr>
        <w:snapToGrid w:val="0"/>
        <w:spacing w:after="0" w:line="560" w:lineRule="exact"/>
        <w:ind w:firstLine="640" w:firstLineChars="200"/>
        <w:contextualSpacing/>
        <w:rPr>
          <w:rFonts w:hint="eastAsia" w:ascii="仿宋_GB2312"/>
          <w:szCs w:val="32"/>
          <w:highlight w:val="none"/>
        </w:rPr>
      </w:pPr>
      <w:r>
        <w:rPr>
          <w:rFonts w:hint="eastAsia" w:ascii="仿宋_GB2312"/>
          <w:szCs w:val="32"/>
          <w:highlight w:val="none"/>
        </w:rPr>
        <w:t>（一）对获得香港特区政府（含香港数码港、香港科学园）、澳门特区政府创新创业类扶持计划资助或香港、澳门高校创业资助，并落户南山的港澳台企业，按实际资助金额的50%给予一次性资助，最高资助50万元。</w:t>
      </w:r>
    </w:p>
    <w:p>
      <w:pPr>
        <w:snapToGrid w:val="0"/>
        <w:spacing w:after="0" w:line="560" w:lineRule="exact"/>
        <w:ind w:firstLine="640" w:firstLineChars="200"/>
        <w:contextualSpacing/>
        <w:rPr>
          <w:rFonts w:ascii="仿宋_GB2312" w:hAnsi="黑体" w:cs="黑体"/>
          <w:bCs/>
          <w:kern w:val="0"/>
          <w:szCs w:val="32"/>
          <w:highlight w:val="none"/>
        </w:rPr>
      </w:pPr>
      <w:r>
        <w:rPr>
          <w:rFonts w:hint="eastAsia" w:ascii="仿宋_GB2312"/>
          <w:szCs w:val="32"/>
          <w:highlight w:val="none"/>
        </w:rPr>
        <w:t>（二）对经区科技主管部门认定为深港青年创新创业基地联合孵化空间的运营主体，给予一次性30万元资助。</w:t>
      </w:r>
    </w:p>
    <w:p>
      <w:pPr>
        <w:spacing w:after="0" w:line="240" w:lineRule="auto"/>
        <w:ind w:firstLine="643" w:firstLineChars="200"/>
        <w:outlineLvl w:val="9"/>
        <w:rPr>
          <w:rFonts w:hint="eastAsia" w:ascii="楷体_GB2312" w:hAnsi="楷体_GB2312" w:eastAsia="楷体_GB2312" w:cs="楷体_GB2312"/>
          <w:b/>
          <w:color w:val="auto"/>
          <w:kern w:val="2"/>
          <w:szCs w:val="24"/>
          <w:highlight w:val="none"/>
          <w:lang w:bidi="ar"/>
        </w:rPr>
      </w:pPr>
      <w:r>
        <w:rPr>
          <w:rFonts w:hint="eastAsia" w:ascii="楷体_GB2312" w:hAnsi="楷体_GB2312" w:eastAsia="楷体_GB2312" w:cs="楷体_GB2312"/>
          <w:b/>
          <w:color w:val="auto"/>
          <w:szCs w:val="24"/>
          <w:highlight w:val="none"/>
          <w:lang w:bidi="ar"/>
        </w:rPr>
        <w:t>第二十七条  中国创新创业大赛支持计划</w:t>
      </w:r>
    </w:p>
    <w:p>
      <w:pPr>
        <w:spacing w:after="0" w:line="560" w:lineRule="exact"/>
        <w:ind w:firstLine="640" w:firstLineChars="200"/>
        <w:rPr>
          <w:rFonts w:hint="eastAsia" w:ascii="仿宋_GB2312" w:hAnsi="仿宋_GB2312" w:cs="仿宋_GB2312"/>
          <w:bCs/>
          <w:szCs w:val="32"/>
          <w:highlight w:val="none"/>
          <w:lang w:val="en-US" w:eastAsia="zh-CN"/>
        </w:rPr>
      </w:pPr>
      <w:r>
        <w:rPr>
          <w:rFonts w:hint="eastAsia" w:ascii="仿宋_GB2312" w:hAnsi="仿宋_GB2312" w:cs="仿宋_GB2312"/>
          <w:bCs/>
          <w:szCs w:val="32"/>
          <w:highlight w:val="none"/>
          <w:lang w:val="en-US" w:eastAsia="zh-CN"/>
        </w:rPr>
        <w:t>（一）设立创新南山“创业之星”大赛奖金，对获奖主体予以奖励，每个获奖主体每年最高奖励100万元。</w:t>
      </w:r>
    </w:p>
    <w:p>
      <w:pPr>
        <w:spacing w:after="0" w:line="560" w:lineRule="exact"/>
        <w:ind w:firstLine="640" w:firstLineChars="200"/>
        <w:rPr>
          <w:rFonts w:hint="eastAsia" w:ascii="仿宋_GB2312" w:hAnsi="仿宋_GB2312" w:cs="仿宋_GB2312"/>
          <w:bCs/>
          <w:szCs w:val="32"/>
          <w:highlight w:val="none"/>
          <w:lang w:val="en-US" w:eastAsia="zh-CN"/>
        </w:rPr>
      </w:pPr>
      <w:r>
        <w:rPr>
          <w:rFonts w:hint="eastAsia" w:ascii="仿宋_GB2312" w:hAnsi="仿宋_GB2312" w:cs="仿宋_GB2312"/>
          <w:bCs/>
          <w:szCs w:val="32"/>
          <w:highlight w:val="none"/>
          <w:lang w:val="en-US" w:eastAsia="zh-CN"/>
        </w:rPr>
        <w:t>（二）对上年度在中国创新创业大赛全国总决赛</w:t>
      </w:r>
      <w:r>
        <w:rPr>
          <w:rFonts w:hint="default" w:ascii="仿宋_GB2312" w:hAnsi="仿宋_GB2312" w:cs="仿宋_GB2312"/>
          <w:bCs/>
          <w:szCs w:val="32"/>
          <w:highlight w:val="none"/>
          <w:lang w:val="en-US" w:eastAsia="zh-CN"/>
        </w:rPr>
        <w:t>等赛事</w:t>
      </w:r>
      <w:r>
        <w:rPr>
          <w:rFonts w:hint="eastAsia" w:ascii="仿宋_GB2312" w:hAnsi="仿宋_GB2312" w:cs="仿宋_GB2312"/>
          <w:bCs/>
          <w:szCs w:val="32"/>
          <w:highlight w:val="none"/>
          <w:lang w:val="en-US" w:eastAsia="zh-CN"/>
        </w:rPr>
        <w:t>获奖的企业</w:t>
      </w:r>
      <w:r>
        <w:rPr>
          <w:rFonts w:hint="default" w:ascii="仿宋_GB2312" w:hAnsi="仿宋_GB2312" w:cs="仿宋_GB2312"/>
          <w:bCs/>
          <w:szCs w:val="32"/>
          <w:highlight w:val="none"/>
          <w:lang w:val="en-US" w:eastAsia="zh-CN"/>
        </w:rPr>
        <w:t>或团队</w:t>
      </w:r>
      <w:r>
        <w:rPr>
          <w:rFonts w:hint="eastAsia" w:ascii="仿宋_GB2312" w:hAnsi="仿宋_GB2312" w:cs="仿宋_GB2312"/>
          <w:bCs/>
          <w:szCs w:val="32"/>
          <w:highlight w:val="none"/>
          <w:lang w:val="en-US" w:eastAsia="zh-CN"/>
        </w:rPr>
        <w:t>，且注册地位于南山或获奖后落户南山的，一次性给予最高50万元的奖励；对上年度在中国深圳创新创业大赛决赛中获奖的企业且注册地位于南山或获奖后落户南山的，一次性给予最高30万元的奖励。同一项目在多级比赛获奖的，按就高不就低的原则进行奖励。</w:t>
      </w:r>
    </w:p>
    <w:p>
      <w:pPr>
        <w:adjustRightInd/>
        <w:snapToGrid/>
        <w:spacing w:after="0" w:line="240" w:lineRule="auto"/>
        <w:ind w:firstLine="643" w:firstLineChars="200"/>
        <w:outlineLvl w:val="9"/>
        <w:rPr>
          <w:rFonts w:hint="eastAsia" w:ascii="楷体_GB2312" w:hAnsi="楷体_GB2312" w:eastAsia="楷体_GB2312" w:cs="楷体_GB2312"/>
          <w:b/>
          <w:color w:val="auto"/>
          <w:szCs w:val="24"/>
          <w:highlight w:val="none"/>
          <w:lang w:bidi="ar"/>
        </w:rPr>
      </w:pPr>
      <w:r>
        <w:rPr>
          <w:rFonts w:hint="eastAsia" w:ascii="楷体_GB2312" w:hAnsi="楷体_GB2312" w:eastAsia="楷体_GB2312" w:cs="楷体_GB2312"/>
          <w:b/>
          <w:color w:val="auto"/>
          <w:szCs w:val="24"/>
          <w:highlight w:val="none"/>
          <w:lang w:bidi="ar"/>
        </w:rPr>
        <w:t>第二十八条  科技人才创新创业支持计划</w:t>
      </w:r>
    </w:p>
    <w:p>
      <w:pPr>
        <w:spacing w:after="0" w:line="560" w:lineRule="exact"/>
        <w:ind w:firstLine="640" w:firstLineChars="200"/>
        <w:rPr>
          <w:rFonts w:ascii="仿宋_GB2312" w:hAnsi="黑体"/>
          <w:szCs w:val="32"/>
          <w:highlight w:val="none"/>
        </w:rPr>
      </w:pPr>
      <w:r>
        <w:rPr>
          <w:rFonts w:hint="eastAsia" w:ascii="仿宋_GB2312" w:hAnsi="黑体"/>
          <w:szCs w:val="32"/>
          <w:highlight w:val="none"/>
        </w:rPr>
        <w:t>（一）对经评价认定的顶尖人才创办的企业，符合南山区产业发展导向且经区科技主管部门评审通过的，</w:t>
      </w:r>
      <w:r>
        <w:rPr>
          <w:rFonts w:hint="eastAsia"/>
          <w:highlight w:val="none"/>
        </w:rPr>
        <w:t>给予最高</w:t>
      </w:r>
      <w:r>
        <w:rPr>
          <w:rFonts w:hint="eastAsia" w:ascii="仿宋_GB2312" w:hAnsi="仿宋_GB2312" w:cs="仿宋_GB2312"/>
          <w:highlight w:val="none"/>
        </w:rPr>
        <w:t>2000万</w:t>
      </w:r>
      <w:r>
        <w:rPr>
          <w:rFonts w:hint="eastAsia"/>
          <w:highlight w:val="none"/>
        </w:rPr>
        <w:t>元资助。</w:t>
      </w:r>
    </w:p>
    <w:p>
      <w:pPr>
        <w:spacing w:after="0" w:line="560" w:lineRule="exact"/>
        <w:ind w:firstLine="640" w:firstLineChars="200"/>
        <w:rPr>
          <w:rFonts w:hint="eastAsia" w:ascii="仿宋_GB2312" w:hAnsi="仿宋_GB2312" w:cs="仿宋_GB2312"/>
          <w:bCs/>
          <w:szCs w:val="32"/>
          <w:highlight w:val="none"/>
          <w:lang w:val="en-US" w:eastAsia="zh-CN"/>
        </w:rPr>
      </w:pPr>
      <w:r>
        <w:rPr>
          <w:rFonts w:hint="eastAsia" w:ascii="仿宋_GB2312" w:hAnsi="黑体"/>
          <w:szCs w:val="32"/>
          <w:highlight w:val="none"/>
        </w:rPr>
        <w:t>（二）对获得广东省引进创新创业团队、深圳市高层次人才</w:t>
      </w:r>
      <w:r>
        <w:rPr>
          <w:rFonts w:hint="eastAsia" w:ascii="仿宋_GB2312" w:hAnsi="仿宋_GB2312" w:cs="仿宋_GB2312"/>
          <w:bCs/>
          <w:szCs w:val="32"/>
          <w:highlight w:val="none"/>
          <w:lang w:val="en-US" w:eastAsia="zh-CN"/>
        </w:rPr>
        <w:t>团队立项的南山区企业，或由广东省引进创新创业团队、深圳市高层次人才团队在南山区注册成立的、具有良好产业化前景且经区科技主管部门评审通过的企业，给予最高2000万元资助。</w:t>
      </w:r>
    </w:p>
    <w:p>
      <w:pPr>
        <w:spacing w:after="0" w:line="560" w:lineRule="exact"/>
        <w:ind w:firstLine="640" w:firstLineChars="200"/>
        <w:rPr>
          <w:rFonts w:hint="eastAsia" w:ascii="仿宋_GB2312" w:hAnsi="仿宋_GB2312" w:cs="仿宋_GB2312"/>
          <w:bCs/>
          <w:szCs w:val="32"/>
          <w:highlight w:val="none"/>
          <w:lang w:val="en-US" w:eastAsia="zh-CN"/>
        </w:rPr>
      </w:pPr>
      <w:r>
        <w:rPr>
          <w:rFonts w:hint="eastAsia" w:ascii="仿宋_GB2312" w:hAnsi="仿宋_GB2312" w:cs="仿宋_GB2312"/>
          <w:bCs/>
          <w:szCs w:val="32"/>
          <w:highlight w:val="none"/>
          <w:lang w:val="en-US" w:eastAsia="zh-CN"/>
        </w:rPr>
        <w:t>对于本措施出台前已获得南山区高层次人才团队资助的市团队项目，可根据项目产业化营业收入、获得机构投资情况给予最高1000万元奖励。</w:t>
      </w:r>
    </w:p>
    <w:p>
      <w:pPr>
        <w:adjustRightInd w:val="0"/>
        <w:snapToGrid w:val="0"/>
        <w:spacing w:after="0" w:line="560" w:lineRule="exact"/>
        <w:ind w:firstLine="643" w:firstLineChars="200"/>
        <w:outlineLvl w:val="1"/>
        <w:rPr>
          <w:rFonts w:hint="eastAsia" w:ascii="黑体" w:hAnsi="黑体" w:eastAsia="黑体"/>
          <w:color w:val="000000"/>
          <w:szCs w:val="32"/>
          <w:highlight w:val="none"/>
        </w:rPr>
      </w:pPr>
      <w:r>
        <w:rPr>
          <w:rFonts w:hint="eastAsia" w:ascii="楷体_GB2312" w:hAnsi="楷体_GB2312" w:eastAsia="楷体_GB2312" w:cs="楷体_GB2312"/>
          <w:b/>
          <w:color w:val="auto"/>
          <w:szCs w:val="24"/>
          <w:highlight w:val="none"/>
          <w:lang w:bidi="ar"/>
        </w:rPr>
        <w:t>第二十九条  科技金融深度融合支持计划</w:t>
      </w:r>
    </w:p>
    <w:p>
      <w:pPr>
        <w:widowControl/>
        <w:numPr>
          <w:ilvl w:val="0"/>
          <w:numId w:val="0"/>
        </w:numPr>
        <w:spacing w:line="240" w:lineRule="auto"/>
        <w:ind w:firstLine="643"/>
        <w:outlineLvl w:val="9"/>
        <w:rPr>
          <w:rFonts w:hint="eastAsia" w:ascii="仿宋_GB2312" w:hAnsi="Times New Roman" w:eastAsia="仿宋_GB2312" w:cs="Times New Roman"/>
          <w:b/>
          <w:color w:val="auto"/>
          <w:szCs w:val="24"/>
          <w:highlight w:val="none"/>
          <w:shd w:val="clear" w:color="auto" w:fill="auto"/>
          <w:lang w:bidi="ar"/>
        </w:rPr>
      </w:pPr>
      <w:r>
        <w:rPr>
          <w:rFonts w:hint="eastAsia" w:ascii="仿宋_GB2312" w:hAnsi="Times New Roman" w:eastAsia="仿宋_GB2312" w:cs="Times New Roman"/>
          <w:b/>
          <w:color w:val="auto"/>
          <w:szCs w:val="24"/>
          <w:highlight w:val="none"/>
          <w:shd w:val="clear" w:color="auto" w:fill="auto"/>
          <w:lang w:bidi="ar"/>
        </w:rPr>
        <w:t>（一）科技金融贷款贴息支持</w:t>
      </w:r>
    </w:p>
    <w:p>
      <w:pPr>
        <w:spacing w:after="0" w:line="560" w:lineRule="exact"/>
        <w:ind w:firstLine="640" w:firstLineChars="200"/>
        <w:rPr>
          <w:rFonts w:ascii="仿宋_GB2312"/>
          <w:bCs/>
          <w:kern w:val="44"/>
          <w:szCs w:val="32"/>
          <w:highlight w:val="none"/>
        </w:rPr>
      </w:pPr>
      <w:r>
        <w:rPr>
          <w:rFonts w:hint="eastAsia" w:ascii="仿宋_GB2312"/>
          <w:bCs/>
          <w:kern w:val="44"/>
          <w:szCs w:val="32"/>
          <w:highlight w:val="none"/>
        </w:rPr>
        <w:t>对在南山科技金融在线平台完成评级及备案，并获得</w:t>
      </w:r>
      <w:r>
        <w:rPr>
          <w:rFonts w:hint="default" w:ascii="仿宋_GB2312"/>
          <w:bCs/>
          <w:kern w:val="44"/>
          <w:szCs w:val="32"/>
          <w:highlight w:val="none"/>
        </w:rPr>
        <w:t>流动资金</w:t>
      </w:r>
      <w:r>
        <w:rPr>
          <w:rFonts w:hint="eastAsia" w:ascii="仿宋_GB2312"/>
          <w:bCs/>
          <w:kern w:val="44"/>
          <w:szCs w:val="32"/>
          <w:highlight w:val="none"/>
        </w:rPr>
        <w:t>贷款且按时还款的</w:t>
      </w:r>
      <w:r>
        <w:rPr>
          <w:rFonts w:hint="default" w:ascii="仿宋_GB2312"/>
          <w:bCs/>
          <w:kern w:val="44"/>
          <w:szCs w:val="32"/>
          <w:highlight w:val="none"/>
        </w:rPr>
        <w:t>辖区内科技企业</w:t>
      </w:r>
      <w:r>
        <w:rPr>
          <w:rFonts w:hint="eastAsia" w:ascii="仿宋_GB2312"/>
          <w:bCs/>
          <w:kern w:val="44"/>
          <w:szCs w:val="32"/>
          <w:highlight w:val="none"/>
        </w:rPr>
        <w:t>，在平台贷款贴息额度内，按照企业实际支付利息的70%给予补贴。每家企业每年最高资助100万元。</w:t>
      </w:r>
    </w:p>
    <w:p>
      <w:pPr>
        <w:widowControl/>
        <w:numPr>
          <w:ilvl w:val="0"/>
          <w:numId w:val="0"/>
        </w:numPr>
        <w:spacing w:after="0" w:line="240" w:lineRule="auto"/>
        <w:ind w:firstLine="643" w:firstLineChars="0"/>
        <w:outlineLvl w:val="9"/>
        <w:rPr>
          <w:rFonts w:hint="eastAsia" w:ascii="仿宋_GB2312" w:hAnsi="Times New Roman" w:eastAsia="仿宋_GB2312" w:cs="Times New Roman"/>
          <w:b/>
          <w:color w:val="auto"/>
          <w:szCs w:val="24"/>
          <w:highlight w:val="none"/>
          <w:shd w:val="clear" w:color="auto" w:fill="auto"/>
          <w:lang w:bidi="ar"/>
        </w:rPr>
      </w:pPr>
      <w:r>
        <w:rPr>
          <w:rFonts w:hint="eastAsia" w:ascii="仿宋_GB2312" w:hAnsi="Times New Roman" w:eastAsia="仿宋_GB2312" w:cs="Times New Roman"/>
          <w:b/>
          <w:color w:val="auto"/>
          <w:szCs w:val="24"/>
          <w:highlight w:val="none"/>
          <w:shd w:val="clear" w:color="auto" w:fill="auto"/>
          <w:lang w:bidi="ar"/>
        </w:rPr>
        <w:t>（二）科技金融投资机构支持</w:t>
      </w:r>
    </w:p>
    <w:p>
      <w:pPr>
        <w:spacing w:after="0" w:line="560" w:lineRule="exact"/>
        <w:ind w:firstLine="640" w:firstLineChars="200"/>
        <w:rPr>
          <w:rFonts w:hint="eastAsia" w:ascii="仿宋_GB2312" w:hAnsi="仿宋_GB2312" w:cs="仿宋_GB2312"/>
          <w:bCs/>
          <w:szCs w:val="32"/>
          <w:highlight w:val="none"/>
          <w:lang w:val="en-US" w:eastAsia="zh-CN"/>
        </w:rPr>
      </w:pPr>
      <w:r>
        <w:rPr>
          <w:rFonts w:hint="eastAsia" w:ascii="仿宋_GB2312" w:hAnsi="仿宋_GB2312" w:cs="仿宋_GB2312"/>
          <w:bCs/>
          <w:szCs w:val="32"/>
          <w:highlight w:val="none"/>
          <w:lang w:val="en-US" w:eastAsia="zh-CN"/>
        </w:rPr>
        <w:t>对投资辖区内种子期、初创期科技企业的辖区内投资机构，按照上年度实际投资额</w:t>
      </w:r>
      <w:r>
        <w:rPr>
          <w:rFonts w:hint="default" w:ascii="仿宋_GB2312" w:hAnsi="仿宋_GB2312" w:cs="仿宋_GB2312"/>
          <w:bCs/>
          <w:szCs w:val="32"/>
          <w:highlight w:val="none"/>
          <w:lang w:val="en-US" w:eastAsia="zh-CN"/>
        </w:rPr>
        <w:t>最高</w:t>
      </w:r>
      <w:r>
        <w:rPr>
          <w:rFonts w:hint="eastAsia" w:ascii="仿宋_GB2312" w:hAnsi="仿宋_GB2312" w:cs="仿宋_GB2312"/>
          <w:bCs/>
          <w:szCs w:val="32"/>
          <w:highlight w:val="none"/>
          <w:lang w:val="en-US" w:eastAsia="zh-CN"/>
        </w:rPr>
        <w:t>10%给予资助，单个项目最高资助100万元，每家机构每年最高资助500万元。</w:t>
      </w:r>
    </w:p>
    <w:p>
      <w:pPr>
        <w:spacing w:after="0" w:line="560" w:lineRule="exact"/>
        <w:ind w:firstLine="640" w:firstLineChars="200"/>
        <w:rPr>
          <w:highlight w:val="none"/>
        </w:rPr>
      </w:pPr>
      <w:r>
        <w:rPr>
          <w:rFonts w:hint="eastAsia" w:ascii="仿宋_GB2312" w:hAnsi="仿宋_GB2312" w:cs="仿宋_GB2312"/>
          <w:bCs/>
          <w:szCs w:val="32"/>
          <w:highlight w:val="none"/>
          <w:lang w:val="en-US" w:eastAsia="zh-CN"/>
        </w:rPr>
        <w:t>该项政策所指投资机构为实收资本不低于人民币5000万元，在中国证券投资基金业协会登记且位居上年度清科排名总榜单的私募基金管理人，包括股权投资基金管理企业、创业投资基金管理企业</w:t>
      </w:r>
      <w:r>
        <w:rPr>
          <w:rFonts w:hint="eastAsia" w:ascii="仿宋_GB2312" w:hAnsi="仿宋_GB2312" w:eastAsia="仿宋_GB2312" w:cs="仿宋_GB2312"/>
          <w:kern w:val="21"/>
          <w:sz w:val="32"/>
          <w:szCs w:val="32"/>
          <w:highlight w:val="none"/>
          <w:shd w:val="clear" w:color="auto" w:fill="auto"/>
          <w:lang w:val="en-US" w:eastAsia="zh-CN" w:bidi="ar-SA"/>
        </w:rPr>
        <w:t>等</w:t>
      </w:r>
      <w:r>
        <w:rPr>
          <w:rFonts w:ascii="仿宋_GB2312"/>
          <w:szCs w:val="32"/>
          <w:highlight w:val="none"/>
        </w:rPr>
        <w:t>。</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643" w:firstLineChars="0"/>
        <w:textAlignment w:val="auto"/>
        <w:outlineLvl w:val="9"/>
        <w:rPr>
          <w:rFonts w:hint="eastAsia" w:ascii="仿宋_GB2312"/>
          <w:b/>
          <w:color w:val="auto"/>
          <w:highlight w:val="none"/>
          <w:shd w:val="clear" w:color="auto" w:fill="auto"/>
          <w:lang w:bidi="ar"/>
        </w:rPr>
      </w:pPr>
      <w:r>
        <w:rPr>
          <w:rFonts w:hint="eastAsia" w:ascii="仿宋_GB2312" w:hAnsi="Times New Roman" w:eastAsia="仿宋_GB2312" w:cs="Times New Roman"/>
          <w:b/>
          <w:color w:val="auto"/>
          <w:szCs w:val="24"/>
          <w:highlight w:val="none"/>
          <w:shd w:val="clear" w:color="auto" w:fill="auto"/>
          <w:lang w:bidi="ar"/>
        </w:rPr>
        <w:t>（三）科技金融创业融资支持</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ascii="仿宋_GB2312"/>
          <w:szCs w:val="32"/>
          <w:highlight w:val="none"/>
        </w:rPr>
      </w:pPr>
      <w:r>
        <w:rPr>
          <w:rFonts w:ascii="仿宋_GB2312"/>
          <w:szCs w:val="32"/>
          <w:highlight w:val="none"/>
        </w:rPr>
        <w:t>1.</w:t>
      </w:r>
      <w:r>
        <w:rPr>
          <w:rFonts w:hint="eastAsia" w:ascii="仿宋_GB2312"/>
          <w:szCs w:val="32"/>
          <w:highlight w:val="none"/>
        </w:rPr>
        <w:t>对成立</w:t>
      </w:r>
      <w:r>
        <w:rPr>
          <w:rFonts w:ascii="仿宋_GB2312"/>
          <w:szCs w:val="32"/>
          <w:highlight w:val="none"/>
        </w:rPr>
        <w:t>5</w:t>
      </w:r>
      <w:r>
        <w:rPr>
          <w:rFonts w:hint="eastAsia" w:ascii="仿宋_GB2312"/>
          <w:szCs w:val="32"/>
          <w:highlight w:val="none"/>
        </w:rPr>
        <w:t>年以内</w:t>
      </w:r>
      <w:r>
        <w:rPr>
          <w:rFonts w:hint="eastAsia" w:ascii="仿宋_GB2312"/>
          <w:szCs w:val="32"/>
          <w:highlight w:val="none"/>
          <w:lang w:eastAsia="zh-CN"/>
        </w:rPr>
        <w:t>，</w:t>
      </w:r>
      <w:r>
        <w:rPr>
          <w:rFonts w:hint="eastAsia" w:ascii="仿宋_GB2312"/>
          <w:szCs w:val="32"/>
          <w:highlight w:val="none"/>
        </w:rPr>
        <w:t>获得投资机构</w:t>
      </w:r>
      <w:r>
        <w:rPr>
          <w:rFonts w:hint="eastAsia" w:ascii="仿宋_GB2312"/>
          <w:szCs w:val="32"/>
          <w:highlight w:val="none"/>
          <w:lang w:eastAsia="zh-CN"/>
        </w:rPr>
        <w:t>投资的</w:t>
      </w:r>
      <w:r>
        <w:rPr>
          <w:rFonts w:hint="default" w:ascii="仿宋_GB2312"/>
          <w:szCs w:val="32"/>
          <w:highlight w:val="none"/>
        </w:rPr>
        <w:t>辖区内</w:t>
      </w:r>
      <w:r>
        <w:rPr>
          <w:rFonts w:hint="eastAsia" w:ascii="仿宋_GB2312"/>
          <w:szCs w:val="32"/>
          <w:highlight w:val="none"/>
          <w:lang w:eastAsia="zh-CN"/>
        </w:rPr>
        <w:t>种子期、初创期</w:t>
      </w:r>
      <w:r>
        <w:rPr>
          <w:rFonts w:hint="eastAsia" w:ascii="仿宋_GB2312"/>
          <w:szCs w:val="32"/>
          <w:highlight w:val="none"/>
        </w:rPr>
        <w:t>科技企业</w:t>
      </w:r>
      <w:r>
        <w:rPr>
          <w:rFonts w:hint="eastAsia" w:ascii="仿宋_GB2312"/>
          <w:szCs w:val="32"/>
          <w:highlight w:val="none"/>
          <w:lang w:eastAsia="zh-CN"/>
        </w:rPr>
        <w:t>，</w:t>
      </w:r>
      <w:r>
        <w:rPr>
          <w:rFonts w:hint="eastAsia" w:ascii="仿宋_GB2312"/>
          <w:szCs w:val="32"/>
          <w:highlight w:val="none"/>
        </w:rPr>
        <w:t>按照其上年度获得</w:t>
      </w:r>
      <w:r>
        <w:rPr>
          <w:rFonts w:hint="eastAsia" w:ascii="仿宋_GB2312"/>
          <w:szCs w:val="32"/>
          <w:highlight w:val="none"/>
          <w:lang w:eastAsia="zh-CN"/>
        </w:rPr>
        <w:t>实际</w:t>
      </w:r>
      <w:r>
        <w:rPr>
          <w:rFonts w:hint="eastAsia" w:ascii="仿宋_GB2312"/>
          <w:szCs w:val="32"/>
          <w:highlight w:val="none"/>
        </w:rPr>
        <w:t>投资额</w:t>
      </w:r>
      <w:r>
        <w:rPr>
          <w:rFonts w:hint="default" w:ascii="仿宋_GB2312"/>
          <w:szCs w:val="32"/>
          <w:highlight w:val="none"/>
        </w:rPr>
        <w:t>最高</w:t>
      </w:r>
      <w:r>
        <w:rPr>
          <w:rFonts w:hint="eastAsia" w:ascii="仿宋_GB2312"/>
          <w:szCs w:val="32"/>
          <w:highlight w:val="none"/>
          <w:lang w:val="en-US" w:eastAsia="zh-CN"/>
        </w:rPr>
        <w:t>10</w:t>
      </w:r>
      <w:r>
        <w:rPr>
          <w:rFonts w:ascii="仿宋_GB2312"/>
          <w:szCs w:val="32"/>
          <w:highlight w:val="none"/>
        </w:rPr>
        <w:t>%</w:t>
      </w:r>
      <w:r>
        <w:rPr>
          <w:rFonts w:hint="eastAsia" w:ascii="仿宋_GB2312"/>
          <w:szCs w:val="32"/>
          <w:highlight w:val="none"/>
        </w:rPr>
        <w:t>给予资助，每家企业每年最高资助</w:t>
      </w:r>
      <w:r>
        <w:rPr>
          <w:rFonts w:ascii="仿宋_GB2312"/>
          <w:szCs w:val="32"/>
          <w:highlight w:val="none"/>
        </w:rPr>
        <w:t>300</w:t>
      </w:r>
      <w:r>
        <w:rPr>
          <w:rFonts w:hint="eastAsia" w:ascii="仿宋_GB2312"/>
          <w:szCs w:val="32"/>
          <w:highlight w:val="none"/>
        </w:rPr>
        <w:t>万元。</w:t>
      </w:r>
    </w:p>
    <w:p>
      <w:pPr>
        <w:spacing w:after="0" w:line="560" w:lineRule="exact"/>
        <w:ind w:firstLine="640" w:firstLineChars="200"/>
        <w:rPr>
          <w:rFonts w:hint="eastAsia" w:ascii="仿宋_GB2312" w:hAnsi="仿宋_GB2312" w:cs="仿宋_GB2312"/>
          <w:bCs/>
          <w:szCs w:val="32"/>
          <w:highlight w:val="none"/>
          <w:lang w:val="en-US" w:eastAsia="zh-CN"/>
        </w:rPr>
      </w:pPr>
      <w:r>
        <w:rPr>
          <w:rFonts w:hint="eastAsia" w:ascii="仿宋_GB2312" w:hAnsi="仿宋_GB2312" w:cs="仿宋_GB2312"/>
          <w:bCs/>
          <w:szCs w:val="32"/>
          <w:highlight w:val="none"/>
          <w:lang w:val="en-US" w:eastAsia="zh-CN"/>
        </w:rPr>
        <w:t>2.对成立5年以内，近3年累计获得投资机构1亿元以上投资额的</w:t>
      </w:r>
      <w:r>
        <w:rPr>
          <w:rFonts w:hint="default" w:ascii="仿宋_GB2312" w:hAnsi="仿宋_GB2312" w:cs="仿宋_GB2312"/>
          <w:bCs/>
          <w:szCs w:val="32"/>
          <w:highlight w:val="none"/>
          <w:lang w:val="en-US" w:eastAsia="zh-CN"/>
        </w:rPr>
        <w:t>辖区内</w:t>
      </w:r>
      <w:r>
        <w:rPr>
          <w:rFonts w:hint="eastAsia" w:ascii="仿宋_GB2312" w:hAnsi="仿宋_GB2312" w:cs="仿宋_GB2312"/>
          <w:bCs/>
          <w:szCs w:val="32"/>
          <w:highlight w:val="none"/>
          <w:lang w:val="en-US" w:eastAsia="zh-CN"/>
        </w:rPr>
        <w:t>高成长科技企业，给予一次性100万元资助。</w:t>
      </w:r>
    </w:p>
    <w:p>
      <w:pPr>
        <w:spacing w:after="0" w:line="560" w:lineRule="exact"/>
        <w:ind w:firstLine="640" w:firstLineChars="200"/>
        <w:rPr>
          <w:rFonts w:hint="eastAsia" w:ascii="仿宋_GB2312" w:hAnsi="仿宋_GB2312" w:cs="仿宋_GB2312"/>
          <w:bCs/>
          <w:szCs w:val="32"/>
          <w:highlight w:val="none"/>
          <w:lang w:val="en-US" w:eastAsia="zh-CN"/>
        </w:rPr>
      </w:pPr>
      <w:r>
        <w:rPr>
          <w:rFonts w:hint="eastAsia" w:ascii="仿宋_GB2312" w:hAnsi="仿宋_GB2312" w:cs="仿宋_GB2312"/>
          <w:bCs/>
          <w:szCs w:val="32"/>
          <w:highlight w:val="none"/>
          <w:lang w:val="en-US" w:eastAsia="zh-CN"/>
        </w:rPr>
        <w:t>获得</w:t>
      </w:r>
      <w:r>
        <w:rPr>
          <w:rFonts w:hint="default" w:ascii="仿宋_GB2312" w:hAnsi="仿宋_GB2312" w:cs="仿宋_GB2312"/>
          <w:bCs/>
          <w:szCs w:val="32"/>
          <w:highlight w:val="none"/>
          <w:lang w:val="en-US" w:eastAsia="zh-CN"/>
        </w:rPr>
        <w:t>本项</w:t>
      </w:r>
      <w:r>
        <w:rPr>
          <w:rFonts w:hint="eastAsia" w:ascii="仿宋_GB2312" w:hAnsi="仿宋_GB2312" w:cs="仿宋_GB2312"/>
          <w:bCs/>
          <w:szCs w:val="32"/>
          <w:highlight w:val="none"/>
          <w:lang w:val="en-US" w:eastAsia="zh-CN"/>
        </w:rPr>
        <w:t>第1、2两点政策支持的企业当年可在南山科技金融在线平台申请贷款贴息额度20%的提升。</w:t>
      </w:r>
    </w:p>
    <w:p>
      <w:pPr>
        <w:spacing w:after="0" w:line="560" w:lineRule="exact"/>
        <w:ind w:firstLine="640" w:firstLineChars="200"/>
        <w:rPr>
          <w:rFonts w:hint="eastAsia" w:ascii="仿宋_GB2312" w:hAnsi="仿宋_GB2312" w:cs="仿宋_GB2312"/>
          <w:bCs/>
          <w:szCs w:val="32"/>
          <w:highlight w:val="none"/>
          <w:lang w:val="en-US" w:eastAsia="zh-CN"/>
        </w:rPr>
      </w:pPr>
      <w:r>
        <w:rPr>
          <w:rFonts w:hint="default" w:ascii="仿宋_GB2312" w:hAnsi="仿宋_GB2312" w:cs="仿宋_GB2312"/>
          <w:bCs/>
          <w:szCs w:val="32"/>
          <w:highlight w:val="none"/>
          <w:lang w:val="en-US" w:eastAsia="zh-CN"/>
        </w:rPr>
        <w:t>本项</w:t>
      </w:r>
      <w:r>
        <w:rPr>
          <w:rFonts w:hint="eastAsia" w:ascii="仿宋_GB2312" w:hAnsi="仿宋_GB2312" w:cs="仿宋_GB2312"/>
          <w:bCs/>
          <w:szCs w:val="32"/>
          <w:highlight w:val="none"/>
          <w:lang w:val="en-US" w:eastAsia="zh-CN"/>
        </w:rPr>
        <w:t>第1、2两点政策所指投资机构为区级（含）以上政府股权投资平台，或位居上年度清科排名总榜单的投资机构。</w:t>
      </w:r>
    </w:p>
    <w:p>
      <w:pPr>
        <w:spacing w:after="0" w:line="560" w:lineRule="exact"/>
        <w:ind w:firstLine="640" w:firstLineChars="200"/>
        <w:rPr>
          <w:rFonts w:ascii="仿宋_GB2312"/>
          <w:bCs/>
          <w:kern w:val="44"/>
          <w:szCs w:val="32"/>
          <w:highlight w:val="none"/>
        </w:rPr>
      </w:pPr>
      <w:r>
        <w:rPr>
          <w:rFonts w:hint="eastAsia" w:ascii="仿宋_GB2312" w:hAnsi="仿宋_GB2312" w:cs="仿宋_GB2312"/>
          <w:bCs/>
          <w:szCs w:val="32"/>
          <w:highlight w:val="none"/>
          <w:lang w:val="en-US" w:eastAsia="zh-CN"/>
        </w:rPr>
        <w:t>同一家企业同一年度均符合本项第1、2两点政策，按照就</w:t>
      </w:r>
      <w:r>
        <w:rPr>
          <w:rFonts w:hint="eastAsia" w:ascii="仿宋_GB2312"/>
          <w:szCs w:val="32"/>
          <w:highlight w:val="none"/>
        </w:rPr>
        <w:t>高不就低原则，不重复支持</w:t>
      </w:r>
      <w:r>
        <w:rPr>
          <w:rFonts w:hint="eastAsia" w:ascii="仿宋_GB2312"/>
          <w:bCs/>
          <w:kern w:val="44"/>
          <w:szCs w:val="32"/>
          <w:highlight w:val="none"/>
        </w:rPr>
        <w:t>。</w:t>
      </w:r>
    </w:p>
    <w:p>
      <w:pPr>
        <w:spacing w:after="0" w:line="560" w:lineRule="exact"/>
        <w:ind w:firstLine="643" w:firstLineChars="200"/>
        <w:outlineLvl w:val="1"/>
        <w:rPr>
          <w:rFonts w:hint="eastAsia" w:ascii="楷体_GB2312" w:hAnsi="楷体_GB2312" w:eastAsia="楷体_GB2312" w:cs="楷体_GB2312"/>
          <w:b/>
          <w:bCs w:val="0"/>
          <w:color w:val="auto"/>
          <w:kern w:val="2"/>
          <w:szCs w:val="24"/>
          <w:highlight w:val="none"/>
          <w:lang w:bidi="ar"/>
        </w:rPr>
      </w:pPr>
      <w:r>
        <w:rPr>
          <w:rFonts w:hint="eastAsia" w:ascii="楷体_GB2312" w:hAnsi="楷体_GB2312" w:eastAsia="楷体_GB2312" w:cs="楷体_GB2312"/>
          <w:b/>
          <w:color w:val="auto"/>
          <w:szCs w:val="24"/>
          <w:highlight w:val="none"/>
          <w:lang w:bidi="ar"/>
        </w:rPr>
        <w:t>第三十条  知识产权创造运用支持计划</w:t>
      </w:r>
    </w:p>
    <w:p>
      <w:pPr>
        <w:widowControl/>
        <w:numPr>
          <w:ilvl w:val="0"/>
          <w:numId w:val="0"/>
        </w:numPr>
        <w:spacing w:after="0" w:line="240" w:lineRule="auto"/>
        <w:ind w:firstLine="643" w:firstLineChars="0"/>
        <w:outlineLvl w:val="9"/>
        <w:rPr>
          <w:rFonts w:hint="eastAsia" w:ascii="仿宋_GB2312" w:hAnsi="Times New Roman" w:eastAsia="仿宋_GB2312" w:cs="Times New Roman"/>
          <w:b/>
          <w:color w:val="auto"/>
          <w:kern w:val="2"/>
          <w:szCs w:val="24"/>
          <w:highlight w:val="none"/>
          <w:shd w:val="clear" w:color="auto" w:fill="auto"/>
          <w:lang w:bidi="ar"/>
        </w:rPr>
      </w:pPr>
      <w:r>
        <w:rPr>
          <w:rFonts w:hint="eastAsia" w:ascii="仿宋_GB2312" w:hAnsi="Times New Roman" w:eastAsia="仿宋_GB2312" w:cs="Times New Roman"/>
          <w:b/>
          <w:color w:val="auto"/>
          <w:kern w:val="2"/>
          <w:szCs w:val="24"/>
          <w:highlight w:val="none"/>
          <w:shd w:val="clear" w:color="auto" w:fill="auto"/>
          <w:lang w:bidi="ar"/>
        </w:rPr>
        <w:t>（一）知识产权服务机构支持</w:t>
      </w:r>
    </w:p>
    <w:p>
      <w:pPr>
        <w:spacing w:after="0" w:line="560" w:lineRule="exact"/>
        <w:ind w:firstLine="640" w:firstLineChars="200"/>
        <w:rPr>
          <w:rFonts w:hint="eastAsia" w:ascii="仿宋_GB2312" w:hAnsi="仿宋_GB2312" w:cs="仿宋_GB2312"/>
          <w:bCs/>
          <w:szCs w:val="32"/>
          <w:highlight w:val="none"/>
          <w:lang w:val="en-US" w:eastAsia="zh-CN"/>
        </w:rPr>
      </w:pPr>
      <w:r>
        <w:rPr>
          <w:rFonts w:hint="eastAsia" w:ascii="仿宋_GB2312" w:hAnsi="仿宋_GB2312" w:cs="仿宋_GB2312"/>
          <w:bCs/>
          <w:szCs w:val="32"/>
          <w:highlight w:val="none"/>
          <w:lang w:val="en-US" w:eastAsia="zh-CN"/>
        </w:rPr>
        <w:t>对在深圳南山知识产权保护中心入驻满一年且年度服务考核合格的知识产权服务机构（政府机构、事业单位除外），按考核等级给予资助，考核结果为“优秀”的资助40万元，“良好”的资助20万元。</w:t>
      </w:r>
    </w:p>
    <w:p>
      <w:pPr>
        <w:widowControl/>
        <w:numPr>
          <w:ilvl w:val="0"/>
          <w:numId w:val="0"/>
        </w:numPr>
        <w:spacing w:after="0" w:line="240" w:lineRule="auto"/>
        <w:ind w:firstLine="643" w:firstLineChars="0"/>
        <w:outlineLvl w:val="9"/>
        <w:rPr>
          <w:rFonts w:hint="eastAsia" w:ascii="仿宋_GB2312" w:hAnsi="Times New Roman" w:eastAsia="仿宋_GB2312" w:cs="Times New Roman"/>
          <w:b/>
          <w:color w:val="auto"/>
          <w:kern w:val="2"/>
          <w:szCs w:val="24"/>
          <w:highlight w:val="none"/>
          <w:shd w:val="clear" w:color="auto" w:fill="auto"/>
          <w:lang w:bidi="ar"/>
        </w:rPr>
      </w:pPr>
      <w:r>
        <w:rPr>
          <w:rFonts w:hint="eastAsia" w:ascii="仿宋_GB2312" w:hAnsi="Times New Roman" w:eastAsia="仿宋_GB2312" w:cs="Times New Roman"/>
          <w:b/>
          <w:color w:val="auto"/>
          <w:kern w:val="2"/>
          <w:szCs w:val="24"/>
          <w:highlight w:val="none"/>
          <w:shd w:val="clear" w:color="auto" w:fill="auto"/>
          <w:lang w:bidi="ar"/>
        </w:rPr>
        <w:t>（二）知识产权质押融资支持</w:t>
      </w:r>
    </w:p>
    <w:p>
      <w:pPr>
        <w:spacing w:after="0" w:line="560" w:lineRule="exact"/>
        <w:ind w:firstLine="640" w:firstLineChars="200"/>
        <w:rPr>
          <w:rFonts w:ascii="楷体_GB2312" w:hAnsi="楷体_GB2312" w:eastAsia="楷体_GB2312" w:cs="楷体_GB2312"/>
          <w:kern w:val="0"/>
          <w:szCs w:val="32"/>
          <w:highlight w:val="none"/>
        </w:rPr>
      </w:pPr>
      <w:r>
        <w:rPr>
          <w:rFonts w:hint="eastAsia" w:ascii="仿宋_GB2312" w:hAnsi="仿宋_GB2312" w:cs="仿宋_GB2312"/>
          <w:kern w:val="0"/>
          <w:szCs w:val="32"/>
          <w:highlight w:val="none"/>
        </w:rPr>
        <w:t>支持辖区企业开展知识产权质押融资，按照实际发生担保、保险、评估费用的70%给予资助，每家企业每年最高资助50万元。</w:t>
      </w:r>
    </w:p>
    <w:p>
      <w:pPr>
        <w:widowControl/>
        <w:numPr>
          <w:ilvl w:val="0"/>
          <w:numId w:val="0"/>
        </w:numPr>
        <w:spacing w:after="0" w:line="240" w:lineRule="auto"/>
        <w:ind w:firstLine="643" w:firstLineChars="0"/>
        <w:outlineLvl w:val="9"/>
        <w:rPr>
          <w:rFonts w:hint="eastAsia" w:ascii="仿宋_GB2312" w:hAnsi="Times New Roman" w:eastAsia="仿宋_GB2312" w:cs="Times New Roman"/>
          <w:b/>
          <w:color w:val="auto"/>
          <w:kern w:val="2"/>
          <w:szCs w:val="24"/>
          <w:highlight w:val="none"/>
          <w:shd w:val="clear" w:color="auto" w:fill="auto"/>
          <w:lang w:bidi="ar"/>
        </w:rPr>
      </w:pPr>
      <w:r>
        <w:rPr>
          <w:rFonts w:hint="eastAsia" w:ascii="仿宋_GB2312" w:hAnsi="Times New Roman" w:eastAsia="仿宋_GB2312" w:cs="Times New Roman"/>
          <w:b/>
          <w:color w:val="auto"/>
          <w:kern w:val="2"/>
          <w:szCs w:val="24"/>
          <w:highlight w:val="none"/>
          <w:shd w:val="clear" w:color="auto" w:fill="auto"/>
          <w:lang w:bidi="ar"/>
        </w:rPr>
        <w:t>（三）知识产权公共服务支持</w:t>
      </w:r>
    </w:p>
    <w:p>
      <w:pPr>
        <w:spacing w:after="0" w:line="560" w:lineRule="exact"/>
        <w:ind w:firstLine="640" w:firstLineChars="200"/>
        <w:rPr>
          <w:rFonts w:ascii="仿宋_GB2312" w:hAnsi="仿宋_GB2312" w:cs="仿宋_GB2312"/>
          <w:kern w:val="0"/>
          <w:szCs w:val="32"/>
          <w:highlight w:val="none"/>
        </w:rPr>
      </w:pPr>
      <w:r>
        <w:rPr>
          <w:rStyle w:val="15"/>
          <w:rFonts w:hint="eastAsia" w:ascii="仿宋_GB2312" w:hAnsi="仿宋_GB2312" w:cs="仿宋_GB2312"/>
          <w:b w:val="0"/>
          <w:szCs w:val="32"/>
          <w:highlight w:val="none"/>
        </w:rPr>
        <w:t>支持企事业单位、社会组织及其他机构，为</w:t>
      </w:r>
      <w:r>
        <w:rPr>
          <w:rStyle w:val="15"/>
          <w:rFonts w:ascii="仿宋_GB2312" w:hAnsi="仿宋_GB2312" w:cs="仿宋_GB2312"/>
          <w:b w:val="0"/>
          <w:szCs w:val="32"/>
          <w:highlight w:val="none"/>
        </w:rPr>
        <w:t>辖区</w:t>
      </w:r>
      <w:r>
        <w:rPr>
          <w:rStyle w:val="15"/>
          <w:rFonts w:hint="eastAsia" w:ascii="仿宋_GB2312" w:hAnsi="仿宋_GB2312" w:cs="仿宋_GB2312"/>
          <w:b w:val="0"/>
          <w:szCs w:val="32"/>
          <w:highlight w:val="none"/>
        </w:rPr>
        <w:t>产业、企业、高校院所、政府、社会公众免费提供查询检索、</w:t>
      </w:r>
      <w:r>
        <w:rPr>
          <w:rStyle w:val="15"/>
          <w:rFonts w:ascii="仿宋_GB2312" w:hAnsi="仿宋_GB2312" w:cs="仿宋_GB2312"/>
          <w:b w:val="0"/>
          <w:szCs w:val="32"/>
          <w:highlight w:val="none"/>
        </w:rPr>
        <w:t>评估评价</w:t>
      </w:r>
      <w:r>
        <w:rPr>
          <w:rStyle w:val="15"/>
          <w:rFonts w:hint="eastAsia" w:ascii="仿宋_GB2312" w:hAnsi="仿宋_GB2312" w:cs="仿宋_GB2312"/>
          <w:b w:val="0"/>
          <w:szCs w:val="32"/>
          <w:highlight w:val="none"/>
        </w:rPr>
        <w:t>、动态监测、分析</w:t>
      </w:r>
      <w:r>
        <w:rPr>
          <w:rStyle w:val="15"/>
          <w:rFonts w:hint="default" w:ascii="仿宋_GB2312" w:hAnsi="仿宋_GB2312" w:cs="仿宋_GB2312"/>
          <w:b w:val="0"/>
          <w:szCs w:val="32"/>
          <w:highlight w:val="none"/>
        </w:rPr>
        <w:t>咨询</w:t>
      </w:r>
      <w:r>
        <w:rPr>
          <w:rStyle w:val="15"/>
          <w:rFonts w:hint="eastAsia" w:ascii="仿宋_GB2312" w:hAnsi="仿宋_GB2312" w:cs="仿宋_GB2312"/>
          <w:b w:val="0"/>
          <w:szCs w:val="32"/>
          <w:highlight w:val="none"/>
        </w:rPr>
        <w:t>等知识产权公共服务，且经区科技主管部门备案并评审通过的，</w:t>
      </w:r>
      <w:r>
        <w:rPr>
          <w:rFonts w:hint="eastAsia" w:ascii="仿宋_GB2312" w:hAnsi="仿宋_GB2312" w:cs="仿宋_GB2312"/>
          <w:kern w:val="0"/>
          <w:szCs w:val="32"/>
          <w:highlight w:val="none"/>
        </w:rPr>
        <w:t>每家单位每年最高资助50万元</w:t>
      </w:r>
      <w:r>
        <w:rPr>
          <w:highlight w:val="none"/>
        </w:rPr>
        <w:t>。</w:t>
      </w:r>
    </w:p>
    <w:p>
      <w:pPr>
        <w:widowControl/>
        <w:numPr>
          <w:ilvl w:val="0"/>
          <w:numId w:val="0"/>
        </w:numPr>
        <w:spacing w:after="0" w:line="240" w:lineRule="auto"/>
        <w:ind w:firstLine="643" w:firstLineChars="0"/>
        <w:outlineLvl w:val="9"/>
        <w:rPr>
          <w:rFonts w:hint="eastAsia" w:ascii="仿宋_GB2312" w:hAnsi="Times New Roman"/>
          <w:b/>
          <w:color w:val="auto"/>
          <w:szCs w:val="24"/>
          <w:highlight w:val="none"/>
          <w:shd w:val="clear" w:color="auto" w:fill="auto"/>
          <w:lang w:bidi="ar"/>
        </w:rPr>
      </w:pPr>
      <w:r>
        <w:rPr>
          <w:rFonts w:hint="eastAsia" w:ascii="仿宋_GB2312" w:hAnsi="Times New Roman" w:eastAsia="仿宋_GB2312" w:cs="Times New Roman"/>
          <w:b/>
          <w:color w:val="auto"/>
          <w:szCs w:val="24"/>
          <w:highlight w:val="none"/>
          <w:shd w:val="clear" w:color="auto" w:fill="auto"/>
          <w:lang w:bidi="ar"/>
        </w:rPr>
        <w:t>（四）知识产权保护工作站支持</w:t>
      </w:r>
    </w:p>
    <w:p>
      <w:pPr>
        <w:spacing w:after="0" w:line="560" w:lineRule="exact"/>
        <w:ind w:firstLine="640" w:firstLineChars="200"/>
        <w:rPr>
          <w:rFonts w:ascii="仿宋_GB2312" w:hAnsi="仿宋_GB2312" w:cs="仿宋_GB2312"/>
          <w:kern w:val="0"/>
          <w:szCs w:val="32"/>
          <w:highlight w:val="none"/>
        </w:rPr>
      </w:pPr>
      <w:r>
        <w:rPr>
          <w:rFonts w:hint="eastAsia" w:ascii="仿宋_GB2312" w:hAnsi="仿宋_GB2312" w:cs="仿宋_GB2312"/>
          <w:kern w:val="0"/>
          <w:szCs w:val="32"/>
          <w:highlight w:val="none"/>
        </w:rPr>
        <w:t>对上一年度在南山区设立知识产权保护工作站的辖区行业协会</w:t>
      </w:r>
      <w:r>
        <w:rPr>
          <w:rFonts w:hint="eastAsia" w:ascii="仿宋_GB2312" w:hAnsi="黑体"/>
          <w:szCs w:val="32"/>
          <w:highlight w:val="none"/>
        </w:rPr>
        <w:t>、</w:t>
      </w:r>
      <w:r>
        <w:rPr>
          <w:rFonts w:hint="eastAsia" w:ascii="仿宋_GB2312" w:hAnsi="仿宋_GB2312" w:cs="仿宋_GB2312"/>
          <w:kern w:val="0"/>
          <w:szCs w:val="32"/>
          <w:highlight w:val="none"/>
        </w:rPr>
        <w:t>商会，按照</w:t>
      </w:r>
      <w:r>
        <w:rPr>
          <w:rFonts w:hint="eastAsia" w:ascii="仿宋_GB2312" w:hAnsi="黑体"/>
          <w:bCs/>
          <w:szCs w:val="32"/>
          <w:highlight w:val="none"/>
        </w:rPr>
        <w:t>深圳市财政专项资金</w:t>
      </w:r>
      <w:r>
        <w:rPr>
          <w:rFonts w:hint="eastAsia" w:ascii="仿宋_GB2312" w:hAnsi="仿宋_GB2312" w:cs="仿宋_GB2312"/>
          <w:kern w:val="0"/>
          <w:szCs w:val="32"/>
          <w:highlight w:val="none"/>
        </w:rPr>
        <w:t>1:1配套资助，每家单位每年最高资助20万元。</w:t>
      </w:r>
    </w:p>
    <w:p>
      <w:pPr>
        <w:widowControl/>
        <w:numPr>
          <w:ilvl w:val="0"/>
          <w:numId w:val="0"/>
        </w:numPr>
        <w:spacing w:after="0" w:line="240" w:lineRule="auto"/>
        <w:ind w:firstLine="643" w:firstLineChars="0"/>
        <w:outlineLvl w:val="9"/>
        <w:rPr>
          <w:rFonts w:hint="eastAsia" w:ascii="仿宋_GB2312" w:hAnsi="Times New Roman" w:eastAsia="仿宋_GB2312" w:cs="Times New Roman"/>
          <w:b/>
          <w:color w:val="auto"/>
          <w:szCs w:val="24"/>
          <w:highlight w:val="none"/>
          <w:shd w:val="clear" w:color="auto" w:fill="auto"/>
          <w:lang w:bidi="ar"/>
        </w:rPr>
      </w:pPr>
      <w:r>
        <w:rPr>
          <w:rFonts w:hint="eastAsia" w:ascii="仿宋_GB2312" w:hAnsi="Times New Roman" w:eastAsia="仿宋_GB2312" w:cs="Times New Roman"/>
          <w:b/>
          <w:color w:val="auto"/>
          <w:szCs w:val="24"/>
          <w:highlight w:val="none"/>
          <w:shd w:val="clear" w:color="auto" w:fill="auto"/>
          <w:lang w:bidi="ar"/>
        </w:rPr>
        <w:t>（五）知识产权仲裁维权支持</w:t>
      </w:r>
    </w:p>
    <w:p>
      <w:pPr>
        <w:spacing w:after="0" w:line="560" w:lineRule="exact"/>
        <w:ind w:firstLine="640" w:firstLineChars="200"/>
        <w:rPr>
          <w:rFonts w:ascii="仿宋_GB2312" w:hAnsi="黑体"/>
          <w:szCs w:val="32"/>
          <w:highlight w:val="none"/>
        </w:rPr>
      </w:pPr>
      <w:r>
        <w:rPr>
          <w:rFonts w:hint="eastAsia" w:ascii="仿宋_GB2312" w:hAnsi="仿宋_GB2312" w:cs="仿宋_GB2312"/>
          <w:szCs w:val="32"/>
          <w:highlight w:val="none"/>
        </w:rPr>
        <w:t>鼓励辖区企事业单位采取仲裁方式解决知识产权纠纷，对上一年度在深圳国际仲裁院提起涉知识产权仲裁的，</w:t>
      </w:r>
      <w:r>
        <w:rPr>
          <w:rFonts w:hint="eastAsia" w:ascii="仿宋_GB2312" w:hAnsi="黑体"/>
          <w:szCs w:val="32"/>
          <w:highlight w:val="none"/>
        </w:rPr>
        <w:t>按照每个案件仲裁费的30%给予</w:t>
      </w:r>
      <w:r>
        <w:rPr>
          <w:rFonts w:hint="eastAsia" w:ascii="仿宋_GB2312" w:hAnsi="黑体"/>
          <w:szCs w:val="32"/>
          <w:highlight w:val="none"/>
          <w:lang w:val="en-US" w:eastAsia="zh-CN"/>
        </w:rPr>
        <w:t>支持</w:t>
      </w:r>
      <w:r>
        <w:rPr>
          <w:rFonts w:hint="eastAsia" w:ascii="仿宋_GB2312" w:hAnsi="黑体"/>
          <w:szCs w:val="32"/>
          <w:highlight w:val="none"/>
        </w:rPr>
        <w:t>，每家单位最高</w:t>
      </w:r>
      <w:r>
        <w:rPr>
          <w:rFonts w:hint="eastAsia" w:ascii="仿宋_GB2312" w:hAnsi="黑体"/>
          <w:szCs w:val="32"/>
          <w:highlight w:val="none"/>
          <w:lang w:val="en-US" w:eastAsia="zh-CN"/>
        </w:rPr>
        <w:t>支持</w:t>
      </w:r>
      <w:r>
        <w:rPr>
          <w:rFonts w:hint="eastAsia" w:ascii="仿宋_GB2312" w:hAnsi="黑体"/>
          <w:szCs w:val="32"/>
          <w:highlight w:val="none"/>
        </w:rPr>
        <w:t>15万元。</w:t>
      </w:r>
    </w:p>
    <w:p>
      <w:pPr>
        <w:widowControl/>
        <w:numPr>
          <w:ilvl w:val="0"/>
          <w:numId w:val="0"/>
        </w:numPr>
        <w:spacing w:after="0" w:line="240" w:lineRule="auto"/>
        <w:ind w:firstLine="643" w:firstLineChars="0"/>
        <w:outlineLvl w:val="9"/>
        <w:rPr>
          <w:rFonts w:hint="eastAsia" w:ascii="仿宋_GB2312" w:hAnsi="Times New Roman" w:eastAsia="仿宋_GB2312" w:cs="Times New Roman"/>
          <w:b/>
          <w:color w:val="auto"/>
          <w:szCs w:val="24"/>
          <w:highlight w:val="none"/>
          <w:shd w:val="clear" w:color="auto" w:fill="auto"/>
          <w:lang w:bidi="ar"/>
        </w:rPr>
      </w:pPr>
      <w:r>
        <w:rPr>
          <w:rFonts w:hint="eastAsia" w:ascii="仿宋_GB2312" w:hAnsi="Times New Roman" w:eastAsia="仿宋_GB2312" w:cs="Times New Roman"/>
          <w:b/>
          <w:color w:val="auto"/>
          <w:szCs w:val="24"/>
          <w:highlight w:val="none"/>
          <w:shd w:val="clear" w:color="auto" w:fill="auto"/>
          <w:lang w:bidi="ar"/>
        </w:rPr>
        <w:t>（六）商业秘密示范企业支持</w:t>
      </w:r>
    </w:p>
    <w:p>
      <w:pPr>
        <w:spacing w:after="0" w:line="560" w:lineRule="exact"/>
        <w:ind w:firstLine="640" w:firstLineChars="200"/>
        <w:rPr>
          <w:rFonts w:ascii="仿宋_GB2312" w:hAnsi="黑体"/>
          <w:szCs w:val="32"/>
          <w:highlight w:val="none"/>
        </w:rPr>
      </w:pPr>
      <w:r>
        <w:rPr>
          <w:rFonts w:hint="eastAsia" w:ascii="仿宋_GB2312" w:hAnsi="黑体"/>
          <w:szCs w:val="32"/>
          <w:highlight w:val="none"/>
        </w:rPr>
        <w:t>支持辖区企事业单位试点开展商业秘密管理与保护体系相关制度建设，对获得《企业商业秘密管理规范》深圳市地方标准试点示范企业称号的企事业单位给予资助，每家单位一次性资助30万元。</w:t>
      </w:r>
    </w:p>
    <w:p>
      <w:pPr>
        <w:widowControl/>
        <w:numPr>
          <w:ilvl w:val="0"/>
          <w:numId w:val="0"/>
        </w:numPr>
        <w:spacing w:after="0" w:line="240" w:lineRule="auto"/>
        <w:ind w:firstLine="643" w:firstLineChars="0"/>
        <w:outlineLvl w:val="9"/>
        <w:rPr>
          <w:rFonts w:hint="eastAsia" w:ascii="仿宋_GB2312" w:hAnsi="Times New Roman" w:eastAsia="仿宋_GB2312" w:cs="Times New Roman"/>
          <w:b/>
          <w:color w:val="auto"/>
          <w:szCs w:val="24"/>
          <w:highlight w:val="none"/>
          <w:shd w:val="clear" w:color="auto" w:fill="auto"/>
          <w:lang w:bidi="ar"/>
        </w:rPr>
      </w:pPr>
      <w:r>
        <w:rPr>
          <w:rFonts w:hint="eastAsia" w:ascii="仿宋_GB2312" w:hAnsi="Times New Roman" w:eastAsia="仿宋_GB2312" w:cs="Times New Roman"/>
          <w:b/>
          <w:color w:val="auto"/>
          <w:szCs w:val="24"/>
          <w:highlight w:val="none"/>
          <w:shd w:val="clear" w:color="auto" w:fill="auto"/>
          <w:lang w:bidi="ar"/>
        </w:rPr>
        <w:t>（七）标准化战略与实施支持</w:t>
      </w:r>
    </w:p>
    <w:p>
      <w:pPr>
        <w:spacing w:after="0" w:line="560" w:lineRule="exact"/>
        <w:ind w:firstLine="640" w:firstLineChars="200"/>
        <w:rPr>
          <w:rFonts w:ascii="仿宋" w:hAnsi="仿宋" w:cs="仿宋"/>
          <w:b/>
          <w:color w:val="000000"/>
          <w:szCs w:val="32"/>
          <w:highlight w:val="none"/>
        </w:rPr>
      </w:pPr>
      <w:r>
        <w:rPr>
          <w:rFonts w:hint="eastAsia" w:ascii="仿宋_GB2312" w:hAnsi="黑体"/>
          <w:szCs w:val="32"/>
          <w:highlight w:val="none"/>
        </w:rPr>
        <w:t>切块最高600万元由深圳市市场监督管理局南山监管局管理用于推动标准战略工作。每项主导制定、修订的国际标准、“一带一路”区域标准、国家标准、行业标准、地方标准、团体标准，按照获得市标准化资助金额最高50%的比例配套资助；每项参与制定、修订的国际标准、“一带一路”区域标准、国家标准、行业标准、地方标准、团体标准按照获得市标准化资助金额最高20%的比例给予配套资助。每家单位每年最高资助50万元。</w:t>
      </w:r>
    </w:p>
    <w:p>
      <w:pPr>
        <w:spacing w:after="0" w:line="560" w:lineRule="exact"/>
        <w:ind w:firstLine="643" w:firstLineChars="200"/>
        <w:outlineLvl w:val="1"/>
        <w:rPr>
          <w:rFonts w:hint="eastAsia" w:ascii="楷体_GB2312" w:hAnsi="楷体_GB2312" w:eastAsia="楷体_GB2312" w:cs="楷体_GB2312"/>
          <w:b/>
          <w:bCs w:val="0"/>
          <w:color w:val="auto"/>
          <w:szCs w:val="24"/>
          <w:highlight w:val="none"/>
          <w:lang w:bidi="ar"/>
        </w:rPr>
      </w:pPr>
      <w:r>
        <w:rPr>
          <w:rFonts w:hint="eastAsia" w:ascii="楷体_GB2312" w:hAnsi="楷体_GB2312" w:eastAsia="楷体_GB2312" w:cs="楷体_GB2312"/>
          <w:b/>
          <w:color w:val="auto"/>
          <w:szCs w:val="24"/>
          <w:highlight w:val="none"/>
          <w:lang w:bidi="ar"/>
        </w:rPr>
        <w:t>第三十一条  重大科技创新活动支持计划</w:t>
      </w:r>
    </w:p>
    <w:p>
      <w:pPr>
        <w:spacing w:after="0" w:line="560" w:lineRule="exact"/>
        <w:ind w:firstLine="640" w:firstLineChars="200"/>
        <w:rPr>
          <w:rFonts w:ascii="仿宋_GB2312" w:hAnsi="宋体" w:cstheme="minorBidi"/>
          <w:bCs/>
          <w:szCs w:val="32"/>
          <w:highlight w:val="none"/>
        </w:rPr>
      </w:pPr>
      <w:r>
        <w:rPr>
          <w:rFonts w:hint="eastAsia" w:ascii="仿宋_GB2312" w:hAnsi="宋体" w:cstheme="minorBidi"/>
          <w:bCs/>
          <w:szCs w:val="32"/>
          <w:highlight w:val="none"/>
        </w:rPr>
        <w:t>对国家、省、市、区政府有关部门</w:t>
      </w:r>
      <w:r>
        <w:rPr>
          <w:rFonts w:hint="eastAsia" w:ascii="仿宋_GB2312" w:hAnsi="仿宋_GB2312" w:cs="仿宋_GB2312"/>
          <w:szCs w:val="32"/>
          <w:highlight w:val="none"/>
          <w:lang w:bidi="ar"/>
        </w:rPr>
        <w:t>认定</w:t>
      </w:r>
      <w:r>
        <w:rPr>
          <w:rFonts w:hint="eastAsia" w:ascii="仿宋_GB2312" w:hAnsi="宋体" w:cstheme="minorBidi"/>
          <w:bCs/>
          <w:szCs w:val="32"/>
          <w:highlight w:val="none"/>
        </w:rPr>
        <w:t>的重大科技创新活动，每个活动最高补贴200万元。</w:t>
      </w:r>
    </w:p>
    <w:p>
      <w:pPr>
        <w:pStyle w:val="12"/>
        <w:ind w:firstLine="320"/>
        <w:rPr>
          <w:highlight w:val="none"/>
        </w:rPr>
      </w:pPr>
    </w:p>
    <w:p>
      <w:pPr>
        <w:spacing w:after="0" w:line="560" w:lineRule="exact"/>
        <w:jc w:val="center"/>
        <w:outlineLvl w:val="0"/>
        <w:rPr>
          <w:rFonts w:hint="eastAsia" w:ascii="黑体" w:hAnsi="Times New Roman" w:eastAsia="黑体"/>
          <w:color w:val="000000"/>
          <w:szCs w:val="32"/>
          <w:highlight w:val="none"/>
        </w:rPr>
      </w:pPr>
      <w:r>
        <w:rPr>
          <w:rFonts w:hint="eastAsia" w:ascii="黑体" w:eastAsia="黑体"/>
          <w:color w:val="000000"/>
          <w:szCs w:val="32"/>
          <w:highlight w:val="none"/>
        </w:rPr>
        <w:t>第六章　</w:t>
      </w:r>
      <w:r>
        <w:rPr>
          <w:rFonts w:hint="eastAsia" w:ascii="黑体" w:hAnsi="Times New Roman" w:eastAsia="黑体"/>
          <w:color w:val="000000"/>
          <w:szCs w:val="32"/>
          <w:highlight w:val="none"/>
        </w:rPr>
        <w:t>附</w:t>
      </w:r>
      <w:r>
        <w:rPr>
          <w:rFonts w:hint="eastAsia" w:ascii="黑体" w:eastAsia="黑体"/>
          <w:color w:val="000000"/>
          <w:szCs w:val="32"/>
          <w:highlight w:val="none"/>
          <w:lang w:val="en-US" w:eastAsia="zh-CN"/>
        </w:rPr>
        <w:t xml:space="preserve">  </w:t>
      </w:r>
      <w:r>
        <w:rPr>
          <w:rFonts w:hint="eastAsia" w:ascii="黑体" w:hAnsi="Times New Roman" w:eastAsia="黑体"/>
          <w:color w:val="000000"/>
          <w:szCs w:val="32"/>
          <w:highlight w:val="none"/>
        </w:rPr>
        <w:t>则</w:t>
      </w:r>
    </w:p>
    <w:p>
      <w:pPr>
        <w:spacing w:after="0" w:line="560" w:lineRule="exact"/>
        <w:ind w:firstLine="707" w:firstLineChars="221"/>
        <w:jc w:val="center"/>
        <w:rPr>
          <w:rFonts w:ascii="黑体" w:hAnsi="宋体" w:eastAsia="黑体"/>
          <w:color w:val="000000"/>
          <w:szCs w:val="32"/>
          <w:highlight w:val="none"/>
        </w:rPr>
      </w:pPr>
    </w:p>
    <w:p>
      <w:pPr>
        <w:spacing w:after="0" w:line="560" w:lineRule="exact"/>
        <w:ind w:firstLine="643" w:firstLineChars="200"/>
        <w:rPr>
          <w:rFonts w:ascii="仿宋_GB2312" w:hAnsi="黑体"/>
          <w:color w:val="000000"/>
          <w:highlight w:val="none"/>
        </w:rPr>
      </w:pPr>
      <w:r>
        <w:rPr>
          <w:rFonts w:hint="eastAsia" w:ascii="楷体_GB2312" w:hAnsi="楷体_GB2312" w:eastAsia="楷体_GB2312" w:cs="楷体_GB2312"/>
          <w:b/>
          <w:color w:val="auto"/>
          <w:highlight w:val="none"/>
          <w:lang w:bidi="ar"/>
        </w:rPr>
        <w:t xml:space="preserve">第三十二条 </w:t>
      </w:r>
      <w:r>
        <w:rPr>
          <w:rFonts w:hint="eastAsia" w:ascii="仿宋_GB2312" w:hAnsi="黑体"/>
          <w:color w:val="000000"/>
          <w:highlight w:val="none"/>
        </w:rPr>
        <w:t xml:space="preserve"> </w:t>
      </w:r>
      <w:r>
        <w:rPr>
          <w:rFonts w:hint="eastAsia" w:ascii="仿宋_GB2312"/>
          <w:color w:val="000000"/>
          <w:szCs w:val="32"/>
          <w:highlight w:val="none"/>
        </w:rPr>
        <w:t>本措施</w:t>
      </w:r>
      <w:r>
        <w:rPr>
          <w:rFonts w:hint="eastAsia" w:ascii="仿宋_GB2312" w:hAnsi="黑体"/>
          <w:color w:val="000000"/>
          <w:highlight w:val="none"/>
        </w:rPr>
        <w:t>尚未涵盖但对南山区</w:t>
      </w:r>
      <w:r>
        <w:rPr>
          <w:rFonts w:ascii="仿宋_GB2312" w:hAnsi="黑体"/>
          <w:color w:val="000000"/>
          <w:highlight w:val="none"/>
        </w:rPr>
        <w:t>科技创新</w:t>
      </w:r>
      <w:r>
        <w:rPr>
          <w:rFonts w:hint="eastAsia" w:ascii="仿宋_GB2312" w:hAnsi="黑体"/>
          <w:color w:val="000000"/>
          <w:highlight w:val="none"/>
        </w:rPr>
        <w:t>和产业</w:t>
      </w:r>
      <w:r>
        <w:rPr>
          <w:rFonts w:ascii="仿宋_GB2312" w:hAnsi="黑体"/>
          <w:color w:val="000000"/>
          <w:highlight w:val="none"/>
        </w:rPr>
        <w:t>发展</w:t>
      </w:r>
      <w:r>
        <w:rPr>
          <w:rFonts w:hint="eastAsia" w:ascii="仿宋_GB2312" w:hAnsi="黑体"/>
          <w:color w:val="000000"/>
          <w:highlight w:val="none"/>
        </w:rPr>
        <w:t>有重要影响的事项或上级部门有明确要求的事项，由相关单位直接向区科技行政主管部门提出申请，主管部门提出受理意见，按“一事一议”的方式报区自主创新产业发展专项资金领导小组会议审议。</w:t>
      </w:r>
    </w:p>
    <w:p>
      <w:pPr>
        <w:tabs>
          <w:tab w:val="left" w:pos="1230"/>
        </w:tabs>
        <w:adjustRightInd w:val="0"/>
        <w:snapToGrid w:val="0"/>
        <w:spacing w:after="0" w:line="560" w:lineRule="exact"/>
        <w:ind w:firstLine="643" w:firstLineChars="200"/>
        <w:rPr>
          <w:rFonts w:ascii="仿宋_GB2312" w:hAnsi="仿宋_GB2312"/>
          <w:color w:val="000000"/>
          <w:szCs w:val="32"/>
          <w:highlight w:val="none"/>
        </w:rPr>
      </w:pPr>
      <w:r>
        <w:rPr>
          <w:rFonts w:hint="eastAsia" w:ascii="楷体_GB2312" w:hAnsi="楷体_GB2312" w:eastAsia="楷体_GB2312" w:cs="楷体_GB2312"/>
          <w:b/>
          <w:color w:val="auto"/>
          <w:szCs w:val="24"/>
          <w:highlight w:val="none"/>
          <w:lang w:bidi="ar"/>
        </w:rPr>
        <w:t>第三十</w:t>
      </w:r>
      <w:r>
        <w:rPr>
          <w:rFonts w:hint="eastAsia" w:ascii="楷体_GB2312" w:hAnsi="楷体_GB2312" w:eastAsia="楷体_GB2312" w:cs="楷体_GB2312"/>
          <w:b/>
          <w:color w:val="auto"/>
          <w:sz w:val="32"/>
          <w:szCs w:val="24"/>
          <w:highlight w:val="none"/>
          <w:lang w:bidi="ar"/>
        </w:rPr>
        <w:t>三</w:t>
      </w:r>
      <w:r>
        <w:rPr>
          <w:rFonts w:hint="eastAsia" w:ascii="楷体_GB2312" w:hAnsi="楷体_GB2312" w:eastAsia="楷体_GB2312" w:cs="楷体_GB2312"/>
          <w:b/>
          <w:color w:val="auto"/>
          <w:szCs w:val="24"/>
          <w:highlight w:val="none"/>
          <w:lang w:bidi="ar"/>
        </w:rPr>
        <w:t xml:space="preserve">条 </w:t>
      </w:r>
      <w:r>
        <w:rPr>
          <w:rFonts w:hint="eastAsia" w:ascii="黑体" w:hAnsi="仿宋_GB2312" w:eastAsia="黑体"/>
          <w:color w:val="000000"/>
          <w:szCs w:val="32"/>
          <w:highlight w:val="none"/>
        </w:rPr>
        <w:t xml:space="preserve"> </w:t>
      </w:r>
      <w:r>
        <w:rPr>
          <w:rFonts w:hint="eastAsia" w:ascii="仿宋_GB2312"/>
          <w:bCs/>
          <w:iCs/>
          <w:color w:val="000000"/>
          <w:szCs w:val="32"/>
          <w:highlight w:val="none"/>
        </w:rPr>
        <w:t>本措施</w:t>
      </w:r>
      <w:r>
        <w:rPr>
          <w:rFonts w:hint="eastAsia" w:ascii="仿宋_GB2312" w:hAnsi="仿宋_GB2312"/>
          <w:color w:val="000000"/>
          <w:szCs w:val="32"/>
          <w:highlight w:val="none"/>
        </w:rPr>
        <w:t>自发布之日起施行，有效期</w:t>
      </w:r>
      <w:r>
        <w:rPr>
          <w:rFonts w:hint="eastAsia" w:ascii="仿宋_GB2312" w:hAnsi="仿宋_GB2312"/>
          <w:color w:val="000000"/>
          <w:szCs w:val="32"/>
          <w:highlight w:val="none"/>
          <w:lang w:eastAsia="zh-CN"/>
        </w:rPr>
        <w:t>三</w:t>
      </w:r>
      <w:r>
        <w:rPr>
          <w:rFonts w:hint="eastAsia" w:ascii="仿宋_GB2312" w:hAnsi="仿宋_GB2312"/>
          <w:color w:val="000000"/>
          <w:szCs w:val="32"/>
          <w:highlight w:val="none"/>
        </w:rPr>
        <w:t>年。</w:t>
      </w:r>
      <w:r>
        <w:rPr>
          <w:rFonts w:hint="eastAsia" w:ascii="仿宋_GB2312" w:hAnsi="Times New Roman" w:eastAsia="仿宋_GB2312"/>
          <w:bCs/>
          <w:kern w:val="44"/>
          <w:sz w:val="32"/>
          <w:szCs w:val="32"/>
          <w:highlight w:val="none"/>
          <w:lang w:val="en-US" w:eastAsia="zh-CN"/>
        </w:rPr>
        <w:t>本措施与我区其它同类</w:t>
      </w:r>
      <w:r>
        <w:rPr>
          <w:rFonts w:hint="default" w:ascii="仿宋_GB2312" w:hAnsi="Times New Roman" w:eastAsia="仿宋_GB2312"/>
          <w:bCs/>
          <w:kern w:val="44"/>
          <w:sz w:val="32"/>
          <w:szCs w:val="32"/>
          <w:highlight w:val="none"/>
          <w:lang w:eastAsia="zh-CN"/>
        </w:rPr>
        <w:t>扶持</w:t>
      </w:r>
      <w:r>
        <w:rPr>
          <w:rFonts w:hint="eastAsia" w:ascii="仿宋_GB2312" w:hAnsi="Times New Roman" w:eastAsia="仿宋_GB2312"/>
          <w:bCs/>
          <w:kern w:val="44"/>
          <w:sz w:val="32"/>
          <w:szCs w:val="32"/>
          <w:highlight w:val="none"/>
          <w:lang w:val="en-US" w:eastAsia="zh-CN"/>
        </w:rPr>
        <w:t>措施，由企业按照就高不就低的原则选择适用，不重复资助。执行期间如遇国家、省、市有关政策调整的，根据新政策做相应调整</w:t>
      </w:r>
      <w:r>
        <w:rPr>
          <w:rFonts w:hint="default" w:ascii="仿宋_GB2312"/>
          <w:bCs/>
          <w:kern w:val="44"/>
          <w:sz w:val="32"/>
          <w:szCs w:val="32"/>
          <w:highlight w:val="none"/>
          <w:lang w:eastAsia="zh-CN"/>
        </w:rPr>
        <w:t>。</w:t>
      </w:r>
    </w:p>
    <w:p>
      <w:pPr>
        <w:ind w:firstLine="643" w:firstLineChars="200"/>
        <w:rPr>
          <w:rFonts w:hint="eastAsia" w:ascii="方正小标宋_GBK" w:hAnsi="方正小标宋_GBK" w:eastAsia="方正小标宋_GBK" w:cs="方正小标宋_GBK"/>
          <w:b w:val="0"/>
          <w:bCs w:val="0"/>
          <w:color w:val="000000"/>
          <w:kern w:val="2"/>
          <w:sz w:val="44"/>
          <w:szCs w:val="44"/>
          <w:highlight w:val="none"/>
        </w:rPr>
      </w:pPr>
      <w:r>
        <w:rPr>
          <w:rFonts w:hint="eastAsia" w:ascii="楷体_GB2312" w:hAnsi="楷体_GB2312" w:eastAsia="楷体_GB2312" w:cs="楷体_GB2312"/>
          <w:b/>
          <w:color w:val="auto"/>
          <w:szCs w:val="24"/>
          <w:highlight w:val="none"/>
          <w:lang w:bidi="ar"/>
        </w:rPr>
        <w:t>第三十四条</w:t>
      </w:r>
      <w:r>
        <w:rPr>
          <w:rFonts w:hint="eastAsia" w:ascii="黑体" w:hAnsi="黑体" w:eastAsia="黑体"/>
          <w:color w:val="000000"/>
          <w:szCs w:val="32"/>
          <w:highlight w:val="none"/>
        </w:rPr>
        <w:t xml:space="preserve">  </w:t>
      </w:r>
      <w:r>
        <w:rPr>
          <w:rFonts w:hint="eastAsia" w:ascii="仿宋_GB2312"/>
          <w:color w:val="000000"/>
          <w:szCs w:val="32"/>
          <w:highlight w:val="none"/>
        </w:rPr>
        <w:t>本措施由区科技创新局负责解释，</w:t>
      </w:r>
      <w:r>
        <w:rPr>
          <w:rFonts w:hint="eastAsia" w:ascii="仿宋_GB2312" w:hAnsi="仿宋_GB2312"/>
          <w:color w:val="000000"/>
          <w:szCs w:val="32"/>
          <w:highlight w:val="none"/>
        </w:rPr>
        <w:t>制定与</w:t>
      </w:r>
      <w:r>
        <w:rPr>
          <w:rFonts w:hint="eastAsia" w:ascii="仿宋_GB2312"/>
          <w:color w:val="000000"/>
          <w:szCs w:val="32"/>
          <w:highlight w:val="none"/>
        </w:rPr>
        <w:t>本措施</w:t>
      </w:r>
      <w:r>
        <w:rPr>
          <w:rFonts w:hint="eastAsia" w:ascii="仿宋_GB2312" w:hAnsi="仿宋_GB2312"/>
          <w:color w:val="000000"/>
          <w:szCs w:val="32"/>
          <w:highlight w:val="none"/>
        </w:rPr>
        <w:t>相关的操作规程。</w:t>
      </w:r>
      <w:bookmarkEnd w:id="297"/>
      <w:bookmarkEnd w:id="313"/>
      <w:bookmarkEnd w:id="314"/>
      <w:bookmarkStart w:id="315" w:name="_Toc26513"/>
      <w:bookmarkStart w:id="316" w:name="_Toc2370"/>
      <w:bookmarkStart w:id="317" w:name="_Toc31257"/>
      <w:bookmarkStart w:id="318" w:name="_Toc32392"/>
      <w:bookmarkStart w:id="319" w:name="_Toc2043145945"/>
      <w:bookmarkStart w:id="320" w:name="_Toc15217"/>
      <w:bookmarkStart w:id="321" w:name="_Toc31973"/>
      <w:bookmarkStart w:id="322" w:name="_Toc7830"/>
      <w:bookmarkStart w:id="323" w:name="_Toc27336"/>
      <w:bookmarkStart w:id="324" w:name="_Toc15008"/>
      <w:bookmarkStart w:id="325" w:name="_Toc20906"/>
      <w:bookmarkStart w:id="326" w:name="_Toc23844"/>
      <w:bookmarkStart w:id="327" w:name="_Toc1862"/>
      <w:bookmarkStart w:id="328" w:name="_Toc32071"/>
    </w:p>
    <w:p>
      <w:pPr>
        <w:pStyle w:val="2"/>
        <w:keepNext w:val="0"/>
        <w:keepLines w:val="0"/>
        <w:pageBreakBefore w:val="0"/>
        <w:widowControl w:val="0"/>
        <w:wordWrap/>
        <w:topLinePunct w:val="0"/>
        <w:bidi w:val="0"/>
        <w:spacing w:before="0" w:beforeLines="0" w:beforeAutospacing="0" w:after="0" w:afterLines="0" w:afterAutospacing="0" w:line="560" w:lineRule="exact"/>
        <w:ind w:left="0" w:leftChars="0" w:firstLine="0" w:firstLineChars="0"/>
        <w:jc w:val="center"/>
        <w:rPr>
          <w:rFonts w:hint="eastAsia" w:ascii="方正小标宋_GBK" w:hAnsi="方正小标宋_GBK" w:eastAsia="方正小标宋_GBK" w:cs="方正小标宋_GBK"/>
          <w:b w:val="0"/>
          <w:bCs w:val="0"/>
          <w:color w:val="000000"/>
          <w:kern w:val="2"/>
          <w:sz w:val="44"/>
          <w:szCs w:val="44"/>
          <w:highlight w:val="none"/>
        </w:rPr>
      </w:pPr>
    </w:p>
    <w:p>
      <w:pPr>
        <w:pStyle w:val="2"/>
        <w:keepNext w:val="0"/>
        <w:keepLines w:val="0"/>
        <w:pageBreakBefore w:val="0"/>
        <w:widowControl w:val="0"/>
        <w:wordWrap/>
        <w:topLinePunct w:val="0"/>
        <w:bidi w:val="0"/>
        <w:spacing w:before="0" w:beforeLines="0" w:beforeAutospacing="0" w:after="0" w:afterLines="0" w:afterAutospacing="0" w:line="560" w:lineRule="exact"/>
        <w:ind w:left="0" w:leftChars="0" w:firstLine="0" w:firstLineChars="0"/>
        <w:jc w:val="center"/>
        <w:rPr>
          <w:rFonts w:hint="eastAsia" w:ascii="方正小标宋_GBK" w:hAnsi="方正小标宋_GBK" w:eastAsia="方正小标宋_GBK" w:cs="方正小标宋_GBK"/>
          <w:b w:val="0"/>
          <w:bCs w:val="0"/>
          <w:color w:val="000000"/>
          <w:kern w:val="2"/>
          <w:sz w:val="44"/>
          <w:szCs w:val="44"/>
          <w:highlight w:val="none"/>
        </w:rPr>
      </w:pPr>
    </w:p>
    <w:p>
      <w:pPr>
        <w:pStyle w:val="2"/>
        <w:keepNext w:val="0"/>
        <w:keepLines w:val="0"/>
        <w:pageBreakBefore w:val="0"/>
        <w:widowControl w:val="0"/>
        <w:wordWrap/>
        <w:topLinePunct w:val="0"/>
        <w:bidi w:val="0"/>
        <w:spacing w:before="0" w:beforeLines="0" w:beforeAutospacing="0" w:after="0" w:afterLines="0" w:afterAutospacing="0" w:line="560" w:lineRule="exact"/>
        <w:ind w:left="0" w:leftChars="0" w:firstLine="0" w:firstLineChars="0"/>
        <w:jc w:val="center"/>
        <w:rPr>
          <w:rFonts w:hint="eastAsia" w:ascii="方正小标宋_GBK" w:hAnsi="方正小标宋_GBK" w:eastAsia="方正小标宋_GBK" w:cs="方正小标宋_GBK"/>
          <w:b w:val="0"/>
          <w:bCs w:val="0"/>
          <w:color w:val="000000"/>
          <w:kern w:val="2"/>
          <w:sz w:val="44"/>
          <w:szCs w:val="44"/>
          <w:highlight w:val="none"/>
        </w:rPr>
      </w:pPr>
    </w:p>
    <w:p>
      <w:pPr>
        <w:rPr>
          <w:rFonts w:hint="eastAsia" w:ascii="方正小标宋_GBK" w:hAnsi="方正小标宋_GBK" w:eastAsia="方正小标宋_GBK" w:cs="方正小标宋_GBK"/>
          <w:b w:val="0"/>
          <w:bCs w:val="0"/>
          <w:color w:val="000000"/>
          <w:kern w:val="2"/>
          <w:sz w:val="44"/>
          <w:szCs w:val="44"/>
          <w:highlight w:val="none"/>
        </w:rPr>
      </w:pPr>
      <w:r>
        <w:rPr>
          <w:rFonts w:hint="eastAsia" w:ascii="方正小标宋_GBK" w:hAnsi="方正小标宋_GBK" w:eastAsia="方正小标宋_GBK" w:cs="方正小标宋_GBK"/>
          <w:b w:val="0"/>
          <w:bCs w:val="0"/>
          <w:color w:val="000000"/>
          <w:kern w:val="2"/>
          <w:sz w:val="44"/>
          <w:szCs w:val="44"/>
          <w:highlight w:val="none"/>
        </w:rPr>
        <w:br w:type="page"/>
      </w:r>
    </w:p>
    <w:p>
      <w:pPr>
        <w:pStyle w:val="2"/>
        <w:keepNext w:val="0"/>
        <w:keepLines w:val="0"/>
        <w:pageBreakBefore w:val="0"/>
        <w:widowControl w:val="0"/>
        <w:wordWrap/>
        <w:topLinePunct w:val="0"/>
        <w:bidi w:val="0"/>
        <w:spacing w:before="0" w:beforeLines="0" w:beforeAutospacing="0" w:after="0" w:afterLines="0" w:afterAutospacing="0" w:line="560" w:lineRule="exact"/>
        <w:ind w:left="0" w:leftChars="0" w:firstLine="0" w:firstLineChars="0"/>
        <w:jc w:val="center"/>
        <w:rPr>
          <w:rFonts w:hint="eastAsia" w:ascii="方正小标宋_GBK" w:hAnsi="方正小标宋_GBK" w:eastAsia="方正小标宋_GBK" w:cs="方正小标宋_GBK"/>
          <w:b w:val="0"/>
          <w:bCs w:val="0"/>
          <w:color w:val="000000"/>
          <w:kern w:val="2"/>
          <w:sz w:val="44"/>
          <w:szCs w:val="44"/>
          <w:highlight w:val="none"/>
        </w:rPr>
      </w:pPr>
      <w:r>
        <w:rPr>
          <w:rFonts w:hint="eastAsia" w:ascii="方正小标宋_GBK" w:hAnsi="方正小标宋_GBK" w:eastAsia="方正小标宋_GBK" w:cs="方正小标宋_GBK"/>
          <w:b w:val="0"/>
          <w:bCs w:val="0"/>
          <w:color w:val="000000"/>
          <w:kern w:val="2"/>
          <w:sz w:val="44"/>
          <w:szCs w:val="44"/>
          <w:highlight w:val="none"/>
        </w:rPr>
        <w:t>南山区促进生命科技相关产业</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rFonts w:hint="eastAsia" w:ascii="方正小标宋_GBK" w:hAnsi="方正小标宋_GBK" w:eastAsia="方正小标宋_GBK" w:cs="方正小标宋_GBK"/>
          <w:b w:val="0"/>
          <w:bCs w:val="0"/>
          <w:color w:val="000000"/>
          <w:kern w:val="2"/>
          <w:sz w:val="44"/>
          <w:szCs w:val="44"/>
          <w:highlight w:val="none"/>
        </w:rPr>
        <w:t>高质量发展</w:t>
      </w:r>
    </w:p>
    <w:p>
      <w:pPr>
        <w:pStyle w:val="2"/>
        <w:keepNext w:val="0"/>
        <w:keepLines w:val="0"/>
        <w:pageBreakBefore w:val="0"/>
        <w:widowControl w:val="0"/>
        <w:wordWrap/>
        <w:topLinePunct w:val="0"/>
        <w:bidi w:val="0"/>
        <w:spacing w:before="0" w:beforeLines="0" w:beforeAutospacing="0" w:after="0" w:afterLines="0" w:afterAutospacing="0" w:line="560" w:lineRule="exact"/>
        <w:ind w:left="0" w:leftChars="0" w:firstLine="0" w:firstLineChars="0"/>
        <w:jc w:val="center"/>
        <w:rPr>
          <w:rFonts w:hint="eastAsia" w:ascii="方正小标宋_GBK" w:hAnsi="方正小标宋_GBK" w:eastAsia="方正小标宋_GBK" w:cs="方正小标宋_GBK"/>
          <w:b w:val="0"/>
          <w:bCs w:val="0"/>
          <w:color w:val="000000"/>
          <w:kern w:val="2"/>
          <w:sz w:val="44"/>
          <w:szCs w:val="44"/>
          <w:highlight w:val="none"/>
        </w:rPr>
      </w:pPr>
      <w:r>
        <w:rPr>
          <w:rFonts w:hint="eastAsia" w:ascii="方正小标宋_GBK" w:hAnsi="方正小标宋_GBK" w:eastAsia="方正小标宋_GBK" w:cs="方正小标宋_GBK"/>
          <w:b w:val="0"/>
          <w:bCs w:val="0"/>
          <w:color w:val="000000"/>
          <w:kern w:val="2"/>
          <w:sz w:val="44"/>
          <w:szCs w:val="44"/>
          <w:highlight w:val="none"/>
          <w:lang w:eastAsia="zh-CN"/>
        </w:rPr>
        <w:t>专项扶持</w:t>
      </w:r>
      <w:r>
        <w:rPr>
          <w:rFonts w:hint="eastAsia" w:ascii="方正小标宋_GBK" w:hAnsi="方正小标宋_GBK" w:eastAsia="方正小标宋_GBK" w:cs="方正小标宋_GBK"/>
          <w:b w:val="0"/>
          <w:bCs w:val="0"/>
          <w:color w:val="000000"/>
          <w:kern w:val="2"/>
          <w:sz w:val="44"/>
          <w:szCs w:val="44"/>
          <w:highlight w:val="none"/>
        </w:rPr>
        <w:t>措施</w:t>
      </w:r>
    </w:p>
    <w:p>
      <w:pPr>
        <w:keepNext w:val="0"/>
        <w:keepLines w:val="0"/>
        <w:pageBreakBefore w:val="0"/>
        <w:widowControl w:val="0"/>
        <w:wordWrap/>
        <w:topLinePunct w:val="0"/>
        <w:bidi w:val="0"/>
        <w:spacing w:beforeAutospacing="0" w:afterAutospacing="0" w:line="560" w:lineRule="exact"/>
        <w:ind w:left="0" w:leftChars="0"/>
        <w:jc w:val="center"/>
        <w:rPr>
          <w:rFonts w:ascii="宋体" w:hAnsi="宋体" w:eastAsia="宋体" w:cs="宋体"/>
          <w:b/>
          <w:bCs/>
          <w:sz w:val="36"/>
          <w:szCs w:val="36"/>
          <w:highlight w:val="none"/>
        </w:rPr>
      </w:pPr>
      <w:r>
        <w:rPr>
          <w:rFonts w:hint="eastAsia" w:ascii="宋体" w:hAnsi="宋体" w:eastAsia="宋体" w:cs="宋体"/>
          <w:b/>
          <w:bCs/>
          <w:sz w:val="36"/>
          <w:szCs w:val="36"/>
          <w:highlight w:val="none"/>
        </w:rPr>
        <w:t>（征求意见稿）</w:t>
      </w:r>
    </w:p>
    <w:p>
      <w:pPr>
        <w:keepNext w:val="0"/>
        <w:keepLines w:val="0"/>
        <w:pageBreakBefore w:val="0"/>
        <w:widowControl w:val="0"/>
        <w:wordWrap/>
        <w:topLinePunct w:val="0"/>
        <w:bidi w:val="0"/>
        <w:spacing w:beforeAutospacing="0" w:afterAutospacing="0" w:line="560" w:lineRule="exact"/>
        <w:ind w:left="0" w:leftChars="0" w:firstLine="640" w:firstLineChars="200"/>
        <w:rPr>
          <w:rFonts w:ascii="仿宋" w:hAnsi="仿宋" w:eastAsia="仿宋" w:cs="仿宋"/>
          <w:szCs w:val="32"/>
          <w:highlight w:val="none"/>
        </w:rPr>
      </w:pPr>
    </w:p>
    <w:p>
      <w:pPr>
        <w:keepNext w:val="0"/>
        <w:keepLines w:val="0"/>
        <w:pageBreakBefore w:val="0"/>
        <w:widowControl w:val="0"/>
        <w:wordWrap/>
        <w:topLinePunct w:val="0"/>
        <w:bidi w:val="0"/>
        <w:spacing w:beforeAutospacing="0" w:afterAutospacing="0" w:line="560" w:lineRule="exact"/>
        <w:ind w:left="0" w:leftChars="0" w:firstLine="643" w:firstLineChars="200"/>
        <w:rPr>
          <w:rFonts w:hint="eastAsia" w:ascii="黑体" w:hAnsi="黑体" w:eastAsia="黑体"/>
          <w:color w:val="000000"/>
          <w:szCs w:val="32"/>
          <w:highlight w:val="none"/>
        </w:rPr>
      </w:pPr>
      <w:bookmarkStart w:id="329" w:name="_Toc24893"/>
      <w:bookmarkStart w:id="330" w:name="_Toc27474"/>
      <w:bookmarkStart w:id="331" w:name="_Toc28732"/>
      <w:r>
        <w:rPr>
          <w:rFonts w:hint="eastAsia" w:ascii="楷体_GB2312" w:hAnsi="楷体_GB2312" w:eastAsia="楷体_GB2312" w:cs="楷体_GB2312"/>
          <w:b/>
          <w:color w:val="auto"/>
          <w:sz w:val="32"/>
          <w:szCs w:val="24"/>
          <w:highlight w:val="none"/>
          <w:lang w:bidi="ar"/>
        </w:rPr>
        <w:t>第一条</w:t>
      </w:r>
      <w:r>
        <w:rPr>
          <w:rFonts w:hint="eastAsia" w:ascii="楷体_GB2312" w:hAnsi="楷体_GB2312" w:eastAsia="楷体_GB2312" w:cs="楷体_GB2312"/>
          <w:b/>
          <w:color w:val="auto"/>
          <w:sz w:val="32"/>
          <w:szCs w:val="24"/>
          <w:highlight w:val="none"/>
          <w:lang w:val="en-US" w:eastAsia="zh-CN" w:bidi="ar"/>
        </w:rPr>
        <w:t xml:space="preserve"> </w:t>
      </w:r>
      <w:r>
        <w:rPr>
          <w:rFonts w:hint="eastAsia" w:ascii="黑体" w:hAnsi="黑体" w:eastAsia="黑体" w:cs="黑体"/>
          <w:sz w:val="32"/>
          <w:szCs w:val="32"/>
          <w:highlight w:val="none"/>
          <w:lang w:val="en-US" w:eastAsia="zh-CN"/>
        </w:rPr>
        <w:t xml:space="preserve"> </w:t>
      </w:r>
      <w:r>
        <w:rPr>
          <w:rFonts w:hint="eastAsia" w:ascii="仿宋_GB2312" w:eastAsia="仿宋_GB2312"/>
          <w:sz w:val="32"/>
          <w:szCs w:val="32"/>
          <w:highlight w:val="none"/>
        </w:rPr>
        <w:t>为贯彻落实市委市政府关于培育发展20大战略性新兴产业集群和</w:t>
      </w:r>
      <w:r>
        <w:rPr>
          <w:rFonts w:ascii="仿宋_GB2312" w:eastAsia="仿宋_GB2312"/>
          <w:sz w:val="32"/>
          <w:szCs w:val="32"/>
          <w:highlight w:val="none"/>
        </w:rPr>
        <w:t>8</w:t>
      </w:r>
      <w:r>
        <w:rPr>
          <w:rFonts w:hint="eastAsia" w:ascii="仿宋_GB2312" w:eastAsia="仿宋_GB2312"/>
          <w:sz w:val="32"/>
          <w:szCs w:val="32"/>
          <w:highlight w:val="none"/>
        </w:rPr>
        <w:t>大未来产业集群工作部署和区委区政府关于“总部经济+科技创新+高端制造”发展战略</w:t>
      </w:r>
      <w:r>
        <w:rPr>
          <w:rFonts w:ascii="仿宋_GB2312" w:eastAsia="仿宋_GB2312"/>
          <w:sz w:val="32"/>
          <w:szCs w:val="32"/>
          <w:highlight w:val="none"/>
        </w:rPr>
        <w:t>，</w:t>
      </w:r>
      <w:r>
        <w:rPr>
          <w:rFonts w:hint="eastAsia" w:ascii="仿宋_GB2312" w:eastAsia="仿宋_GB2312"/>
          <w:sz w:val="32"/>
          <w:szCs w:val="32"/>
          <w:highlight w:val="none"/>
        </w:rPr>
        <w:t>做好《深圳市人民政府关于发展壮大战略性新兴产业集群和培育发展未来产业的意见》</w:t>
      </w:r>
      <w:r>
        <w:rPr>
          <w:rFonts w:ascii="仿宋_GB2312" w:eastAsia="仿宋_GB2312"/>
          <w:sz w:val="32"/>
          <w:szCs w:val="32"/>
          <w:highlight w:val="none"/>
        </w:rPr>
        <w:t>落地实施，</w:t>
      </w:r>
      <w:r>
        <w:rPr>
          <w:rFonts w:hint="eastAsia" w:ascii="仿宋_GB2312" w:eastAsia="仿宋_GB2312"/>
          <w:sz w:val="32"/>
          <w:szCs w:val="32"/>
          <w:highlight w:val="none"/>
        </w:rPr>
        <w:t>推动“资源要素向产业集群集聚、政策措施向产业集群倾斜、工作力量向产业集群加强”，</w:t>
      </w:r>
      <w:r>
        <w:rPr>
          <w:rFonts w:hint="eastAsia" w:ascii="仿宋_GB2312" w:hAnsi="仿宋_GB2312" w:eastAsia="仿宋_GB2312" w:cs="仿宋_GB2312"/>
          <w:sz w:val="32"/>
          <w:szCs w:val="32"/>
          <w:highlight w:val="none"/>
        </w:rPr>
        <w:t>特制定本措施。</w:t>
      </w:r>
    </w:p>
    <w:p>
      <w:pPr>
        <w:keepNext w:val="0"/>
        <w:keepLines w:val="0"/>
        <w:pageBreakBefore w:val="0"/>
        <w:widowControl w:val="0"/>
        <w:wordWrap/>
        <w:topLinePunct w:val="0"/>
        <w:bidi w:val="0"/>
        <w:spacing w:beforeAutospacing="0" w:afterAutospacing="0" w:line="560" w:lineRule="exact"/>
        <w:ind w:left="0" w:leftChars="0" w:firstLine="643" w:firstLineChars="200"/>
        <w:rPr>
          <w:rFonts w:hint="eastAsia" w:ascii="仿宋_GB2312" w:hAnsi="仿宋_GB2312" w:eastAsia="仿宋_GB2312" w:cs="仿宋_GB2312"/>
          <w:sz w:val="32"/>
          <w:szCs w:val="32"/>
          <w:highlight w:val="none"/>
        </w:rPr>
      </w:pPr>
      <w:r>
        <w:rPr>
          <w:rFonts w:hint="eastAsia" w:ascii="楷体_GB2312" w:hAnsi="楷体_GB2312" w:eastAsia="楷体_GB2312" w:cs="楷体_GB2312"/>
          <w:b/>
          <w:color w:val="auto"/>
          <w:szCs w:val="24"/>
          <w:highlight w:val="none"/>
          <w:lang w:bidi="ar"/>
        </w:rPr>
        <w:t xml:space="preserve">第二条 </w:t>
      </w:r>
      <w:r>
        <w:rPr>
          <w:rFonts w:hint="eastAsia" w:ascii="黑体" w:hAnsi="黑体" w:eastAsia="黑体"/>
          <w:color w:val="000000"/>
          <w:szCs w:val="32"/>
          <w:highlight w:val="none"/>
          <w:lang w:val="en-US" w:eastAsia="zh-CN"/>
        </w:rPr>
        <w:t xml:space="preserve"> </w:t>
      </w:r>
      <w:r>
        <w:rPr>
          <w:rFonts w:hint="eastAsia" w:ascii="仿宋_GB2312" w:hAnsi="仿宋_GB2312" w:eastAsia="仿宋_GB2312" w:cs="仿宋_GB2312"/>
          <w:color w:val="000000"/>
          <w:szCs w:val="32"/>
          <w:highlight w:val="none"/>
        </w:rPr>
        <w:t>区科技创新局为本措施的主管部门，区自主创新产业发展专项资金领导小组、科技创新分项资金审批专责小组为本措施的决策审批机构。</w:t>
      </w:r>
    </w:p>
    <w:p>
      <w:pPr>
        <w:keepNext w:val="0"/>
        <w:keepLines w:val="0"/>
        <w:pageBreakBefore w:val="0"/>
        <w:widowControl w:val="0"/>
        <w:wordWrap/>
        <w:topLinePunct w:val="0"/>
        <w:bidi w:val="0"/>
        <w:spacing w:beforeAutospacing="0" w:afterAutospacing="0" w:line="560" w:lineRule="exact"/>
        <w:ind w:left="0" w:leftChars="0" w:firstLine="643" w:firstLineChars="200"/>
        <w:rPr>
          <w:rFonts w:hint="eastAsia" w:ascii="仿宋_GB2312" w:hAnsi="仿宋_GB2312" w:eastAsia="仿宋_GB2312" w:cs="仿宋_GB2312"/>
          <w:color w:val="000000"/>
          <w:szCs w:val="32"/>
          <w:highlight w:val="none"/>
        </w:rPr>
      </w:pPr>
      <w:r>
        <w:rPr>
          <w:rFonts w:hint="eastAsia" w:ascii="楷体_GB2312" w:hAnsi="楷体_GB2312" w:eastAsia="楷体_GB2312" w:cs="楷体_GB2312"/>
          <w:b/>
          <w:color w:val="auto"/>
          <w:szCs w:val="24"/>
          <w:highlight w:val="none"/>
          <w:lang w:bidi="ar"/>
        </w:rPr>
        <w:t xml:space="preserve">第三条 </w:t>
      </w:r>
      <w:r>
        <w:rPr>
          <w:rFonts w:hint="eastAsia" w:ascii="仿宋_GB2312" w:hAnsi="仿宋_GB2312" w:cs="仿宋_GB2312"/>
          <w:color w:val="000000"/>
          <w:szCs w:val="32"/>
          <w:highlight w:val="none"/>
          <w:lang w:val="en-US" w:eastAsia="zh-CN"/>
        </w:rPr>
        <w:t xml:space="preserve"> </w:t>
      </w:r>
      <w:r>
        <w:rPr>
          <w:rFonts w:hint="eastAsia" w:ascii="仿宋_GB2312" w:hAnsi="仿宋_GB2312" w:eastAsia="仿宋_GB2312" w:cs="仿宋_GB2312"/>
          <w:color w:val="000000"/>
          <w:szCs w:val="32"/>
          <w:highlight w:val="none"/>
        </w:rPr>
        <w:t>本措施适用于注册登记、税务关系</w:t>
      </w:r>
      <w:r>
        <w:rPr>
          <w:rFonts w:hint="eastAsia" w:ascii="仿宋_GB2312" w:hAnsi="仿宋_GB2312" w:eastAsia="仿宋_GB2312" w:cs="仿宋_GB2312"/>
          <w:color w:val="000000"/>
          <w:szCs w:val="32"/>
          <w:highlight w:val="none"/>
          <w:lang w:eastAsia="zh-CN"/>
        </w:rPr>
        <w:t>及统计关系</w:t>
      </w:r>
      <w:r>
        <w:rPr>
          <w:rFonts w:hint="eastAsia" w:ascii="仿宋_GB2312" w:hAnsi="仿宋_GB2312" w:eastAsia="仿宋_GB2312" w:cs="仿宋_GB2312"/>
          <w:color w:val="000000"/>
          <w:szCs w:val="32"/>
          <w:highlight w:val="none"/>
        </w:rPr>
        <w:t>在南山区，且具备独立法人资格的企事业单位；注册登记、税务关系</w:t>
      </w:r>
      <w:r>
        <w:rPr>
          <w:rFonts w:hint="eastAsia" w:ascii="仿宋_GB2312" w:hAnsi="仿宋_GB2312" w:eastAsia="仿宋_GB2312" w:cs="仿宋_GB2312"/>
          <w:color w:val="000000"/>
          <w:szCs w:val="32"/>
          <w:highlight w:val="none"/>
          <w:lang w:eastAsia="zh-CN"/>
        </w:rPr>
        <w:t>、统计关系</w:t>
      </w:r>
      <w:r>
        <w:rPr>
          <w:rFonts w:hint="eastAsia" w:ascii="仿宋_GB2312" w:hAnsi="仿宋_GB2312" w:eastAsia="仿宋_GB2312" w:cs="仿宋_GB2312"/>
          <w:color w:val="000000"/>
          <w:szCs w:val="32"/>
          <w:highlight w:val="none"/>
        </w:rPr>
        <w:t>在南山区的行业协会、民办非企业等社会组织;注册登记在南山区且按国家统计局相关规定可视同法人单位的主体。上述主体应从事生物医药、医疗器械、合成生物、细胞与基因等生命科技相关产业及相关领域研发、生产和服务。</w:t>
      </w:r>
    </w:p>
    <w:p>
      <w:pPr>
        <w:keepNext w:val="0"/>
        <w:keepLines w:val="0"/>
        <w:pageBreakBefore w:val="0"/>
        <w:widowControl w:val="0"/>
        <w:wordWrap/>
        <w:topLinePunct w:val="0"/>
        <w:bidi w:val="0"/>
        <w:spacing w:beforeAutospacing="0" w:afterAutospacing="0" w:line="560" w:lineRule="exact"/>
        <w:ind w:left="0" w:leftChars="0" w:firstLine="643" w:firstLineChars="200"/>
        <w:rPr>
          <w:rFonts w:hint="eastAsia" w:ascii="仿宋_GB2312" w:hAnsi="仿宋_GB2312" w:eastAsia="仿宋_GB2312" w:cs="仿宋_GB2312"/>
          <w:color w:val="000000"/>
          <w:szCs w:val="32"/>
          <w:highlight w:val="none"/>
        </w:rPr>
      </w:pPr>
      <w:r>
        <w:rPr>
          <w:rFonts w:hint="eastAsia" w:ascii="楷体_GB2312" w:hAnsi="楷体_GB2312" w:eastAsia="楷体_GB2312" w:cs="楷体_GB2312"/>
          <w:b/>
          <w:color w:val="auto"/>
          <w:sz w:val="32"/>
          <w:szCs w:val="24"/>
          <w:highlight w:val="none"/>
          <w:lang w:bidi="ar"/>
        </w:rPr>
        <w:t>第四条</w:t>
      </w:r>
      <w:r>
        <w:rPr>
          <w:rFonts w:hint="eastAsia" w:ascii="黑体" w:hAnsi="黑体" w:eastAsia="黑体" w:cs="黑体"/>
          <w:sz w:val="32"/>
          <w:szCs w:val="32"/>
          <w:highlight w:val="none"/>
        </w:rPr>
        <w:t xml:space="preserve"> </w:t>
      </w:r>
      <w:r>
        <w:rPr>
          <w:rFonts w:hint="eastAsia" w:ascii="黑体" w:hAnsi="黑体" w:eastAsia="黑体" w:cs="黑体"/>
          <w:sz w:val="32"/>
          <w:szCs w:val="32"/>
          <w:highlight w:val="none"/>
          <w:lang w:val="en-US" w:eastAsia="zh-CN"/>
        </w:rPr>
        <w:t xml:space="preserve"> </w:t>
      </w:r>
      <w:r>
        <w:rPr>
          <w:rFonts w:hint="eastAsia" w:ascii="仿宋_GB2312" w:hAnsi="仿宋_GB2312" w:eastAsia="仿宋_GB2312" w:cs="仿宋_GB2312"/>
          <w:color w:val="000000"/>
          <w:szCs w:val="32"/>
          <w:highlight w:val="none"/>
        </w:rPr>
        <w:t>本措施申报主体原则上应符合《南山区自主创新产业发展专项资金管理办法》及本措施规定的</w:t>
      </w:r>
      <w:r>
        <w:rPr>
          <w:rFonts w:hint="eastAsia" w:ascii="仿宋_GB2312" w:hAnsi="仿宋_GB2312" w:eastAsia="仿宋_GB2312" w:cs="仿宋_GB2312"/>
          <w:color w:val="000000"/>
          <w:szCs w:val="32"/>
          <w:highlight w:val="none"/>
          <w:lang w:eastAsia="zh-CN"/>
        </w:rPr>
        <w:t>“</w:t>
      </w:r>
      <w:r>
        <w:rPr>
          <w:rFonts w:hint="eastAsia" w:ascii="仿宋_GB2312" w:hAnsi="仿宋_GB2312" w:eastAsia="仿宋_GB2312" w:cs="仿宋_GB2312"/>
          <w:color w:val="000000"/>
          <w:szCs w:val="32"/>
          <w:highlight w:val="none"/>
        </w:rPr>
        <w:t>注册地</w:t>
      </w:r>
      <w:r>
        <w:rPr>
          <w:rFonts w:hint="eastAsia" w:ascii="仿宋_GB2312" w:hAnsi="仿宋_GB2312" w:eastAsia="仿宋_GB2312" w:cs="仿宋_GB2312"/>
          <w:color w:val="000000"/>
          <w:szCs w:val="32"/>
          <w:highlight w:val="none"/>
          <w:lang w:eastAsia="zh-CN"/>
        </w:rPr>
        <w:t>”“</w:t>
      </w:r>
      <w:r>
        <w:rPr>
          <w:rFonts w:hint="eastAsia" w:ascii="仿宋_GB2312" w:hAnsi="仿宋_GB2312" w:eastAsia="仿宋_GB2312" w:cs="仿宋_GB2312"/>
          <w:color w:val="000000"/>
          <w:szCs w:val="32"/>
          <w:highlight w:val="none"/>
        </w:rPr>
        <w:t>税务关系</w:t>
      </w:r>
      <w:r>
        <w:rPr>
          <w:rFonts w:hint="eastAsia" w:ascii="仿宋_GB2312" w:hAnsi="仿宋_GB2312" w:eastAsia="仿宋_GB2312" w:cs="仿宋_GB2312"/>
          <w:color w:val="000000"/>
          <w:szCs w:val="32"/>
          <w:highlight w:val="none"/>
          <w:lang w:eastAsia="zh-CN"/>
        </w:rPr>
        <w:t>”“统计关系”“</w:t>
      </w:r>
      <w:r>
        <w:rPr>
          <w:rFonts w:hint="eastAsia" w:ascii="仿宋_GB2312" w:hAnsi="仿宋_GB2312" w:eastAsia="仿宋_GB2312" w:cs="仿宋_GB2312"/>
          <w:color w:val="000000"/>
          <w:szCs w:val="32"/>
          <w:highlight w:val="none"/>
        </w:rPr>
        <w:t>独立法人</w:t>
      </w:r>
      <w:r>
        <w:rPr>
          <w:rFonts w:hint="eastAsia" w:ascii="仿宋_GB2312" w:hAnsi="仿宋_GB2312" w:eastAsia="仿宋_GB2312" w:cs="仿宋_GB2312"/>
          <w:color w:val="000000"/>
          <w:szCs w:val="32"/>
          <w:highlight w:val="none"/>
          <w:lang w:eastAsia="zh-CN"/>
        </w:rPr>
        <w:t>”“每家单位</w:t>
      </w:r>
      <w:r>
        <w:rPr>
          <w:rFonts w:hint="eastAsia" w:ascii="仿宋_GB2312" w:hAnsi="仿宋_GB2312" w:eastAsia="仿宋_GB2312" w:cs="仿宋_GB2312"/>
          <w:color w:val="000000"/>
          <w:szCs w:val="32"/>
          <w:highlight w:val="none"/>
        </w:rPr>
        <w:t>单个扶持项目资助金额原则上不得超过1000万元</w:t>
      </w:r>
      <w:r>
        <w:rPr>
          <w:rFonts w:hint="eastAsia" w:ascii="仿宋_GB2312" w:hAnsi="仿宋_GB2312" w:eastAsia="仿宋_GB2312" w:cs="仿宋_GB2312"/>
          <w:color w:val="000000"/>
          <w:szCs w:val="32"/>
          <w:highlight w:val="none"/>
          <w:lang w:eastAsia="zh-CN"/>
        </w:rPr>
        <w:t>”“区级</w:t>
      </w:r>
      <w:r>
        <w:rPr>
          <w:rFonts w:hint="eastAsia" w:ascii="仿宋_GB2312" w:hAnsi="仿宋_GB2312" w:eastAsia="仿宋_GB2312" w:cs="仿宋_GB2312"/>
          <w:color w:val="000000"/>
          <w:szCs w:val="32"/>
          <w:highlight w:val="none"/>
        </w:rPr>
        <w:t>地方财力贡献</w:t>
      </w:r>
      <w:r>
        <w:rPr>
          <w:rFonts w:hint="eastAsia" w:ascii="仿宋_GB2312" w:hAnsi="仿宋_GB2312" w:eastAsia="仿宋_GB2312" w:cs="仿宋_GB2312"/>
          <w:color w:val="000000"/>
          <w:szCs w:val="32"/>
          <w:highlight w:val="none"/>
          <w:lang w:eastAsia="zh-CN"/>
        </w:rPr>
        <w:t>”</w:t>
      </w:r>
      <w:r>
        <w:rPr>
          <w:rFonts w:hint="eastAsia" w:ascii="仿宋_GB2312" w:hAnsi="仿宋_GB2312" w:eastAsia="仿宋_GB2312" w:cs="仿宋_GB2312"/>
          <w:color w:val="000000"/>
          <w:szCs w:val="32"/>
          <w:highlight w:val="none"/>
        </w:rPr>
        <w:t>等相关条件，以下情形除外：</w:t>
      </w:r>
    </w:p>
    <w:p>
      <w:pPr>
        <w:keepNext w:val="0"/>
        <w:keepLines w:val="0"/>
        <w:pageBreakBefore w:val="0"/>
        <w:widowControl w:val="0"/>
        <w:wordWrap/>
        <w:topLinePunct w:val="0"/>
        <w:bidi w:val="0"/>
        <w:spacing w:beforeAutospacing="0" w:afterAutospacing="0" w:line="560" w:lineRule="exact"/>
        <w:ind w:left="0" w:leftChars="0" w:firstLine="640" w:firstLineChars="200"/>
        <w:rPr>
          <w:rFonts w:hint="eastAsia" w:ascii="仿宋_GB2312" w:hAnsi="仿宋_GB2312" w:eastAsia="仿宋_GB2312" w:cs="仿宋_GB2312"/>
          <w:color w:val="000000"/>
          <w:szCs w:val="32"/>
          <w:highlight w:val="none"/>
        </w:rPr>
      </w:pPr>
      <w:r>
        <w:rPr>
          <w:rFonts w:hint="eastAsia" w:ascii="仿宋_GB2312" w:hAnsi="仿宋_GB2312" w:eastAsia="仿宋_GB2312" w:cs="仿宋_GB2312"/>
          <w:color w:val="000000"/>
          <w:szCs w:val="32"/>
          <w:highlight w:val="none"/>
        </w:rPr>
        <w:t>（一）申报重大科技创新活动支持计划的主体可不受《南山区自主创新产业发展专项资金管理办法》</w:t>
      </w:r>
      <w:r>
        <w:rPr>
          <w:rFonts w:hint="eastAsia" w:ascii="仿宋_GB2312" w:hAnsi="仿宋_GB2312" w:eastAsia="仿宋_GB2312" w:cs="仿宋_GB2312"/>
          <w:color w:val="000000"/>
          <w:szCs w:val="32"/>
          <w:highlight w:val="none"/>
          <w:lang w:eastAsia="zh-CN"/>
        </w:rPr>
        <w:t>规定的“</w:t>
      </w:r>
      <w:r>
        <w:rPr>
          <w:rFonts w:hint="eastAsia" w:ascii="仿宋_GB2312" w:hAnsi="仿宋_GB2312" w:eastAsia="仿宋_GB2312" w:cs="仿宋_GB2312"/>
          <w:color w:val="000000"/>
          <w:szCs w:val="32"/>
          <w:highlight w:val="none"/>
        </w:rPr>
        <w:t>注册地</w:t>
      </w:r>
      <w:r>
        <w:rPr>
          <w:rFonts w:hint="eastAsia" w:ascii="仿宋_GB2312" w:hAnsi="仿宋_GB2312" w:eastAsia="仿宋_GB2312" w:cs="仿宋_GB2312"/>
          <w:color w:val="000000"/>
          <w:szCs w:val="32"/>
          <w:highlight w:val="none"/>
          <w:lang w:eastAsia="zh-CN"/>
        </w:rPr>
        <w:t>”“</w:t>
      </w:r>
      <w:r>
        <w:rPr>
          <w:rFonts w:hint="eastAsia" w:ascii="仿宋_GB2312" w:hAnsi="仿宋_GB2312" w:eastAsia="仿宋_GB2312" w:cs="仿宋_GB2312"/>
          <w:color w:val="000000"/>
          <w:szCs w:val="32"/>
          <w:highlight w:val="none"/>
        </w:rPr>
        <w:t>税务关系</w:t>
      </w:r>
      <w:r>
        <w:rPr>
          <w:rFonts w:hint="eastAsia" w:ascii="仿宋_GB2312" w:hAnsi="仿宋_GB2312" w:eastAsia="仿宋_GB2312" w:cs="仿宋_GB2312"/>
          <w:color w:val="000000"/>
          <w:szCs w:val="32"/>
          <w:highlight w:val="none"/>
          <w:lang w:eastAsia="zh-CN"/>
        </w:rPr>
        <w:t>”“统计关系”“</w:t>
      </w:r>
      <w:r>
        <w:rPr>
          <w:rFonts w:hint="eastAsia" w:ascii="仿宋_GB2312" w:hAnsi="仿宋_GB2312" w:eastAsia="仿宋_GB2312" w:cs="仿宋_GB2312"/>
          <w:color w:val="000000"/>
          <w:szCs w:val="32"/>
          <w:highlight w:val="none"/>
        </w:rPr>
        <w:t>独立法人</w:t>
      </w:r>
      <w:r>
        <w:rPr>
          <w:rFonts w:hint="eastAsia" w:ascii="仿宋_GB2312" w:hAnsi="仿宋_GB2312" w:eastAsia="仿宋_GB2312" w:cs="仿宋_GB2312"/>
          <w:color w:val="000000"/>
          <w:szCs w:val="32"/>
          <w:highlight w:val="none"/>
          <w:lang w:eastAsia="zh-CN"/>
        </w:rPr>
        <w:t>”</w:t>
      </w:r>
      <w:r>
        <w:rPr>
          <w:rFonts w:hint="eastAsia" w:ascii="仿宋_GB2312" w:hAnsi="仿宋_GB2312" w:eastAsia="仿宋_GB2312" w:cs="仿宋_GB2312"/>
          <w:color w:val="000000"/>
          <w:szCs w:val="32"/>
          <w:highlight w:val="none"/>
        </w:rPr>
        <w:t>资格条件限制；按国家统计局相关规定可视同法人单位的主体可不受《南山区自主创新产业发展专项资金管理办法》</w:t>
      </w:r>
      <w:r>
        <w:rPr>
          <w:rFonts w:hint="eastAsia" w:ascii="仿宋_GB2312" w:hAnsi="仿宋_GB2312" w:eastAsia="仿宋_GB2312" w:cs="仿宋_GB2312"/>
          <w:color w:val="000000"/>
          <w:szCs w:val="32"/>
          <w:highlight w:val="none"/>
          <w:lang w:eastAsia="zh-CN"/>
        </w:rPr>
        <w:t>规定的“</w:t>
      </w:r>
      <w:r>
        <w:rPr>
          <w:rFonts w:hint="eastAsia" w:ascii="仿宋_GB2312" w:hAnsi="仿宋_GB2312" w:eastAsia="仿宋_GB2312" w:cs="仿宋_GB2312"/>
          <w:color w:val="000000"/>
          <w:szCs w:val="32"/>
          <w:highlight w:val="none"/>
        </w:rPr>
        <w:t>税务关系</w:t>
      </w:r>
      <w:r>
        <w:rPr>
          <w:rFonts w:hint="eastAsia" w:ascii="仿宋_GB2312" w:hAnsi="仿宋_GB2312" w:eastAsia="仿宋_GB2312" w:cs="仿宋_GB2312"/>
          <w:color w:val="000000"/>
          <w:szCs w:val="32"/>
          <w:highlight w:val="none"/>
          <w:lang w:eastAsia="zh-CN"/>
        </w:rPr>
        <w:t>”“统计关系”“</w:t>
      </w:r>
      <w:r>
        <w:rPr>
          <w:rFonts w:hint="eastAsia" w:ascii="仿宋_GB2312" w:hAnsi="仿宋_GB2312" w:eastAsia="仿宋_GB2312" w:cs="仿宋_GB2312"/>
          <w:color w:val="000000"/>
          <w:szCs w:val="32"/>
          <w:highlight w:val="none"/>
        </w:rPr>
        <w:t>独立法人</w:t>
      </w:r>
      <w:r>
        <w:rPr>
          <w:rFonts w:hint="eastAsia" w:ascii="仿宋_GB2312" w:hAnsi="仿宋_GB2312" w:eastAsia="仿宋_GB2312" w:cs="仿宋_GB2312"/>
          <w:color w:val="000000"/>
          <w:szCs w:val="32"/>
          <w:highlight w:val="none"/>
          <w:lang w:eastAsia="zh-CN"/>
        </w:rPr>
        <w:t>”</w:t>
      </w:r>
      <w:r>
        <w:rPr>
          <w:rFonts w:hint="eastAsia" w:ascii="仿宋_GB2312" w:hAnsi="仿宋_GB2312" w:eastAsia="仿宋_GB2312" w:cs="仿宋_GB2312"/>
          <w:color w:val="000000"/>
          <w:szCs w:val="32"/>
          <w:highlight w:val="none"/>
        </w:rPr>
        <w:t>资格条件限制。</w:t>
      </w:r>
    </w:p>
    <w:p>
      <w:pPr>
        <w:keepNext w:val="0"/>
        <w:keepLines w:val="0"/>
        <w:pageBreakBefore w:val="0"/>
        <w:widowControl w:val="0"/>
        <w:wordWrap/>
        <w:topLinePunct w:val="0"/>
        <w:bidi w:val="0"/>
        <w:spacing w:beforeAutospacing="0" w:afterAutospacing="0" w:line="560" w:lineRule="exact"/>
        <w:ind w:left="0" w:leftChars="0" w:firstLine="640" w:firstLineChars="200"/>
        <w:rPr>
          <w:rFonts w:hint="default" w:ascii="仿宋_GB2312" w:hAnsi="仿宋_GB2312" w:eastAsia="仿宋_GB2312" w:cs="仿宋_GB2312"/>
          <w:color w:val="000000"/>
          <w:szCs w:val="32"/>
          <w:highlight w:val="none"/>
          <w:lang w:val="en-US" w:eastAsia="zh-CN"/>
        </w:rPr>
      </w:pPr>
      <w:r>
        <w:rPr>
          <w:rFonts w:hint="eastAsia" w:ascii="仿宋_GB2312" w:hAnsi="仿宋_GB2312" w:eastAsia="仿宋_GB2312" w:cs="仿宋_GB2312"/>
          <w:color w:val="000000"/>
          <w:szCs w:val="32"/>
          <w:highlight w:val="none"/>
          <w:lang w:val="en-US" w:eastAsia="zh-CN"/>
        </w:rPr>
        <w:t xml:space="preserve">  </w:t>
      </w:r>
      <w:r>
        <w:rPr>
          <w:rFonts w:hint="eastAsia" w:ascii="仿宋_GB2312" w:hAnsi="仿宋_GB2312" w:eastAsia="仿宋_GB2312" w:cs="仿宋_GB2312"/>
          <w:color w:val="000000"/>
          <w:szCs w:val="32"/>
          <w:highlight w:val="none"/>
          <w:lang w:eastAsia="zh-CN"/>
        </w:rPr>
        <w:t>（二）</w:t>
      </w:r>
      <w:r>
        <w:rPr>
          <w:rFonts w:hint="eastAsia" w:ascii="仿宋_GB2312" w:hAnsi="仿宋_GB2312" w:eastAsia="仿宋_GB2312" w:cs="仿宋_GB2312"/>
          <w:color w:val="000000"/>
          <w:szCs w:val="32"/>
          <w:highlight w:val="none"/>
          <w:lang w:val="en-US" w:eastAsia="zh-CN"/>
        </w:rPr>
        <w:t>申报</w:t>
      </w:r>
      <w:r>
        <w:rPr>
          <w:rFonts w:hint="eastAsia" w:ascii="仿宋_GB2312" w:hAnsi="仿宋_GB2312" w:eastAsia="仿宋_GB2312" w:cs="仿宋_GB2312"/>
          <w:color w:val="000000"/>
          <w:szCs w:val="32"/>
          <w:highlight w:val="none"/>
          <w:lang w:eastAsia="zh-CN"/>
        </w:rPr>
        <w:t>重大</w:t>
      </w:r>
      <w:r>
        <w:rPr>
          <w:rFonts w:hint="eastAsia" w:ascii="仿宋_GB2312" w:hAnsi="仿宋_GB2312" w:eastAsia="仿宋_GB2312" w:cs="仿宋_GB2312"/>
          <w:color w:val="000000"/>
          <w:szCs w:val="32"/>
          <w:highlight w:val="none"/>
        </w:rPr>
        <w:t>创新</w:t>
      </w:r>
      <w:r>
        <w:rPr>
          <w:rFonts w:hint="eastAsia" w:ascii="仿宋_GB2312" w:hAnsi="仿宋_GB2312" w:eastAsia="仿宋_GB2312" w:cs="仿宋_GB2312"/>
          <w:color w:val="000000"/>
          <w:szCs w:val="32"/>
          <w:highlight w:val="none"/>
          <w:lang w:eastAsia="zh-CN"/>
        </w:rPr>
        <w:t>平台</w:t>
      </w:r>
      <w:r>
        <w:rPr>
          <w:rFonts w:hint="eastAsia" w:ascii="仿宋_GB2312" w:hAnsi="仿宋_GB2312" w:eastAsia="仿宋_GB2312" w:cs="仿宋_GB2312"/>
          <w:color w:val="000000"/>
          <w:szCs w:val="32"/>
          <w:highlight w:val="none"/>
        </w:rPr>
        <w:t>建设、新药创新能力提升</w:t>
      </w:r>
      <w:r>
        <w:rPr>
          <w:rFonts w:hint="eastAsia" w:ascii="仿宋_GB2312" w:hAnsi="仿宋_GB2312" w:eastAsia="仿宋_GB2312" w:cs="仿宋_GB2312"/>
          <w:color w:val="000000"/>
          <w:szCs w:val="32"/>
          <w:highlight w:val="none"/>
          <w:lang w:eastAsia="zh-CN"/>
        </w:rPr>
        <w:t>、高层次</w:t>
      </w:r>
      <w:r>
        <w:rPr>
          <w:rFonts w:hint="eastAsia" w:ascii="仿宋_GB2312" w:hAnsi="仿宋_GB2312" w:eastAsia="仿宋_GB2312" w:cs="仿宋_GB2312"/>
          <w:color w:val="000000"/>
          <w:szCs w:val="32"/>
          <w:highlight w:val="none"/>
        </w:rPr>
        <w:t>人才创新创业</w:t>
      </w:r>
      <w:r>
        <w:rPr>
          <w:rFonts w:hint="eastAsia" w:ascii="仿宋_GB2312" w:hAnsi="仿宋_GB2312" w:eastAsia="仿宋_GB2312" w:cs="仿宋_GB2312"/>
          <w:color w:val="000000"/>
          <w:szCs w:val="32"/>
          <w:highlight w:val="none"/>
          <w:lang w:eastAsia="zh-CN"/>
        </w:rPr>
        <w:t>等支持的项目</w:t>
      </w:r>
      <w:r>
        <w:rPr>
          <w:rFonts w:hint="eastAsia" w:ascii="仿宋_GB2312" w:hAnsi="仿宋_GB2312" w:eastAsia="仿宋_GB2312" w:cs="仿宋_GB2312"/>
          <w:color w:val="000000"/>
          <w:szCs w:val="32"/>
          <w:highlight w:val="none"/>
          <w:lang w:val="en-US" w:eastAsia="zh-CN"/>
        </w:rPr>
        <w:t>不受</w:t>
      </w:r>
      <w:r>
        <w:rPr>
          <w:rFonts w:hint="eastAsia" w:ascii="仿宋_GB2312" w:hAnsi="仿宋_GB2312" w:eastAsia="仿宋_GB2312" w:cs="仿宋_GB2312"/>
          <w:color w:val="000000"/>
          <w:szCs w:val="32"/>
          <w:highlight w:val="none"/>
        </w:rPr>
        <w:t>《南山区自主创新产业发展专项资金管理办法》</w:t>
      </w:r>
      <w:r>
        <w:rPr>
          <w:rFonts w:hint="eastAsia" w:ascii="仿宋_GB2312" w:hAnsi="仿宋_GB2312" w:eastAsia="仿宋_GB2312" w:cs="仿宋_GB2312"/>
          <w:color w:val="000000"/>
          <w:szCs w:val="32"/>
          <w:highlight w:val="none"/>
          <w:lang w:eastAsia="zh-CN"/>
        </w:rPr>
        <w:t>规定的</w:t>
      </w:r>
      <w:r>
        <w:rPr>
          <w:rFonts w:hint="eastAsia" w:ascii="仿宋_GB2312" w:hAnsi="仿宋_GB2312" w:eastAsia="仿宋_GB2312" w:cs="仿宋_GB2312"/>
          <w:color w:val="000000"/>
          <w:szCs w:val="32"/>
          <w:highlight w:val="none"/>
          <w:lang w:val="en-US" w:eastAsia="zh-CN"/>
        </w:rPr>
        <w:t>“</w:t>
      </w:r>
      <w:r>
        <w:rPr>
          <w:rFonts w:hint="eastAsia" w:ascii="仿宋_GB2312" w:hAnsi="仿宋_GB2312" w:eastAsia="仿宋_GB2312" w:cs="仿宋_GB2312"/>
          <w:color w:val="000000"/>
          <w:szCs w:val="32"/>
          <w:highlight w:val="none"/>
          <w:lang w:eastAsia="zh-CN"/>
        </w:rPr>
        <w:t>每家单位</w:t>
      </w:r>
      <w:r>
        <w:rPr>
          <w:rFonts w:hint="eastAsia" w:ascii="仿宋_GB2312" w:hAnsi="仿宋_GB2312" w:eastAsia="仿宋_GB2312" w:cs="仿宋_GB2312"/>
          <w:color w:val="000000"/>
          <w:szCs w:val="32"/>
          <w:highlight w:val="none"/>
        </w:rPr>
        <w:t>单个扶持项目资助金额原则上不得超过1000万元</w:t>
      </w:r>
      <w:r>
        <w:rPr>
          <w:rFonts w:hint="eastAsia" w:ascii="仿宋_GB2312" w:hAnsi="仿宋_GB2312" w:eastAsia="仿宋_GB2312" w:cs="仿宋_GB2312"/>
          <w:color w:val="000000"/>
          <w:szCs w:val="32"/>
          <w:highlight w:val="none"/>
          <w:lang w:val="en-US" w:eastAsia="zh-CN"/>
        </w:rPr>
        <w:t>”总量控制限制。</w:t>
      </w:r>
    </w:p>
    <w:p>
      <w:pPr>
        <w:keepNext w:val="0"/>
        <w:keepLines w:val="0"/>
        <w:pageBreakBefore w:val="0"/>
        <w:widowControl w:val="0"/>
        <w:wordWrap/>
        <w:topLinePunct w:val="0"/>
        <w:bidi w:val="0"/>
        <w:spacing w:beforeAutospacing="0" w:afterAutospacing="0" w:line="560" w:lineRule="exact"/>
        <w:ind w:left="0" w:leftChars="0" w:firstLine="640" w:firstLineChars="200"/>
        <w:rPr>
          <w:rFonts w:ascii="仿宋_GB2312" w:hAnsi="仿宋_GB2312" w:cs="仿宋_GB2312"/>
          <w:kern w:val="0"/>
          <w:szCs w:val="32"/>
          <w:highlight w:val="none"/>
        </w:rPr>
      </w:pPr>
      <w:r>
        <w:rPr>
          <w:rFonts w:hint="eastAsia" w:ascii="仿宋_GB2312" w:hAnsi="仿宋_GB2312" w:eastAsia="仿宋_GB2312" w:cs="仿宋_GB2312"/>
          <w:color w:val="000000"/>
          <w:szCs w:val="32"/>
          <w:highlight w:val="none"/>
        </w:rPr>
        <w:t>（</w:t>
      </w:r>
      <w:r>
        <w:rPr>
          <w:rFonts w:hint="eastAsia" w:ascii="仿宋_GB2312" w:hAnsi="仿宋_GB2312" w:eastAsia="仿宋_GB2312" w:cs="仿宋_GB2312"/>
          <w:color w:val="000000"/>
          <w:szCs w:val="32"/>
          <w:highlight w:val="none"/>
          <w:lang w:eastAsia="zh-CN"/>
        </w:rPr>
        <w:t>三</w:t>
      </w:r>
      <w:r>
        <w:rPr>
          <w:rFonts w:hint="eastAsia" w:ascii="仿宋_GB2312" w:hAnsi="仿宋_GB2312" w:eastAsia="仿宋_GB2312" w:cs="仿宋_GB2312"/>
          <w:color w:val="000000"/>
          <w:szCs w:val="32"/>
          <w:highlight w:val="none"/>
        </w:rPr>
        <w:t>）申报</w:t>
      </w:r>
      <w:r>
        <w:rPr>
          <w:rFonts w:hint="default" w:ascii="仿宋_GB2312" w:hAnsi="仿宋_GB2312" w:eastAsia="仿宋_GB2312" w:cs="仿宋_GB2312"/>
          <w:color w:val="000000"/>
          <w:szCs w:val="32"/>
          <w:highlight w:val="none"/>
        </w:rPr>
        <w:t>重大创新</w:t>
      </w:r>
      <w:r>
        <w:rPr>
          <w:rFonts w:hint="eastAsia" w:ascii="仿宋_GB2312" w:hAnsi="仿宋_GB2312" w:eastAsia="仿宋_GB2312" w:cs="仿宋_GB2312"/>
          <w:color w:val="000000"/>
          <w:szCs w:val="32"/>
          <w:highlight w:val="none"/>
        </w:rPr>
        <w:t>平台建设、创新载体建设</w:t>
      </w:r>
      <w:r>
        <w:rPr>
          <w:rFonts w:hint="default" w:ascii="仿宋_GB2312" w:hAnsi="仿宋_GB2312" w:eastAsia="仿宋_GB2312" w:cs="仿宋_GB2312"/>
          <w:color w:val="000000"/>
          <w:szCs w:val="32"/>
          <w:highlight w:val="none"/>
        </w:rPr>
        <w:t>第二款、新药创新能力提升、医疗器械研发支持、</w:t>
      </w:r>
      <w:r>
        <w:rPr>
          <w:rFonts w:hint="eastAsia" w:ascii="仿宋_GB2312" w:hAnsi="仿宋_GB2312" w:eastAsia="仿宋_GB2312" w:cs="仿宋_GB2312"/>
          <w:color w:val="000000"/>
          <w:szCs w:val="32"/>
          <w:highlight w:val="none"/>
        </w:rPr>
        <w:t>高成长性企业培育</w:t>
      </w:r>
      <w:r>
        <w:rPr>
          <w:rFonts w:hint="default" w:ascii="仿宋_GB2312" w:hAnsi="仿宋_GB2312" w:eastAsia="仿宋_GB2312" w:cs="仿宋_GB2312"/>
          <w:color w:val="000000"/>
          <w:szCs w:val="32"/>
          <w:highlight w:val="none"/>
        </w:rPr>
        <w:t>、优质企业引进、高层次人才创新创业、科技金融、污废处理费用补贴、特殊需求空间建设、海外市场拓展、</w:t>
      </w:r>
      <w:r>
        <w:rPr>
          <w:rFonts w:hint="eastAsia" w:ascii="仿宋_GB2312" w:hAnsi="仿宋_GB2312" w:eastAsia="仿宋_GB2312" w:cs="仿宋_GB2312"/>
          <w:color w:val="000000"/>
          <w:szCs w:val="32"/>
          <w:highlight w:val="none"/>
        </w:rPr>
        <w:t>重大科技创新活动</w:t>
      </w:r>
      <w:r>
        <w:rPr>
          <w:rFonts w:hint="default" w:ascii="仿宋_GB2312" w:hAnsi="仿宋_GB2312" w:eastAsia="仿宋_GB2312" w:cs="仿宋_GB2312"/>
          <w:color w:val="000000"/>
          <w:szCs w:val="32"/>
          <w:highlight w:val="none"/>
        </w:rPr>
        <w:t>、特别重大项目</w:t>
      </w:r>
      <w:r>
        <w:rPr>
          <w:rFonts w:hint="eastAsia" w:ascii="仿宋_GB2312" w:hAnsi="仿宋_GB2312" w:eastAsia="仿宋_GB2312" w:cs="仿宋_GB2312"/>
          <w:color w:val="000000"/>
          <w:szCs w:val="32"/>
          <w:highlight w:val="none"/>
        </w:rPr>
        <w:t>等</w:t>
      </w:r>
      <w:r>
        <w:rPr>
          <w:rFonts w:hint="default" w:ascii="仿宋_GB2312" w:hAnsi="仿宋_GB2312" w:eastAsia="仿宋_GB2312" w:cs="仿宋_GB2312"/>
          <w:color w:val="000000"/>
          <w:szCs w:val="32"/>
          <w:highlight w:val="none"/>
        </w:rPr>
        <w:t>支持计划</w:t>
      </w:r>
      <w:r>
        <w:rPr>
          <w:rFonts w:hint="eastAsia" w:ascii="仿宋_GB2312" w:hAnsi="仿宋_GB2312" w:eastAsia="仿宋_GB2312" w:cs="仿宋_GB2312"/>
          <w:color w:val="000000"/>
          <w:szCs w:val="32"/>
          <w:highlight w:val="none"/>
        </w:rPr>
        <w:t>的主体不受《南山区自主创新产业发展专项资金管理办法》</w:t>
      </w:r>
      <w:r>
        <w:rPr>
          <w:rFonts w:hint="eastAsia" w:ascii="仿宋_GB2312" w:hAnsi="仿宋_GB2312" w:eastAsia="仿宋_GB2312" w:cs="仿宋_GB2312"/>
          <w:color w:val="000000"/>
          <w:szCs w:val="32"/>
          <w:highlight w:val="none"/>
          <w:lang w:eastAsia="zh-CN"/>
        </w:rPr>
        <w:t>规定的“</w:t>
      </w:r>
      <w:r>
        <w:rPr>
          <w:rFonts w:hint="eastAsia" w:ascii="仿宋_GB2312" w:hAnsi="仿宋_GB2312" w:eastAsia="仿宋_GB2312" w:cs="仿宋_GB2312"/>
          <w:color w:val="000000"/>
          <w:szCs w:val="32"/>
          <w:highlight w:val="none"/>
        </w:rPr>
        <w:t>区级</w:t>
      </w:r>
      <w:r>
        <w:rPr>
          <w:rFonts w:hint="eastAsia" w:ascii="仿宋_GB2312" w:hAnsi="仿宋_GB2312" w:eastAsia="仿宋_GB2312" w:cs="仿宋_GB2312"/>
          <w:color w:val="000000"/>
          <w:szCs w:val="32"/>
          <w:highlight w:val="none"/>
          <w:lang w:eastAsia="zh-CN"/>
        </w:rPr>
        <w:t>地方</w:t>
      </w:r>
      <w:r>
        <w:rPr>
          <w:rFonts w:hint="eastAsia" w:ascii="仿宋_GB2312" w:hAnsi="仿宋_GB2312" w:eastAsia="仿宋_GB2312" w:cs="仿宋_GB2312"/>
          <w:color w:val="000000"/>
          <w:szCs w:val="32"/>
          <w:highlight w:val="none"/>
        </w:rPr>
        <w:t>财力贡献</w:t>
      </w:r>
      <w:r>
        <w:rPr>
          <w:rFonts w:hint="eastAsia" w:ascii="仿宋_GB2312" w:hAnsi="仿宋_GB2312" w:eastAsia="仿宋_GB2312" w:cs="仿宋_GB2312"/>
          <w:color w:val="000000"/>
          <w:szCs w:val="32"/>
          <w:highlight w:val="none"/>
          <w:lang w:eastAsia="zh-CN"/>
        </w:rPr>
        <w:t>”</w:t>
      </w:r>
      <w:r>
        <w:rPr>
          <w:rFonts w:hint="eastAsia" w:ascii="仿宋_GB2312" w:hAnsi="仿宋_GB2312" w:eastAsia="仿宋_GB2312" w:cs="仿宋_GB2312"/>
          <w:color w:val="000000"/>
          <w:szCs w:val="32"/>
          <w:highlight w:val="none"/>
        </w:rPr>
        <w:t>限制。</w:t>
      </w:r>
    </w:p>
    <w:p>
      <w:pPr>
        <w:pStyle w:val="11"/>
        <w:keepNext w:val="0"/>
        <w:keepLines w:val="0"/>
        <w:pageBreakBefore w:val="0"/>
        <w:widowControl w:val="0"/>
        <w:wordWrap/>
        <w:topLinePunct w:val="0"/>
        <w:bidi w:val="0"/>
        <w:spacing w:beforeAutospacing="0" w:afterAutospacing="0" w:line="560" w:lineRule="exact"/>
        <w:ind w:left="0" w:leftChars="0" w:firstLine="643" w:firstLineChars="200"/>
        <w:jc w:val="both"/>
        <w:rPr>
          <w:rFonts w:hint="eastAsia" w:ascii="楷体_GB2312" w:hAnsi="楷体_GB2312" w:eastAsia="楷体_GB2312" w:cs="楷体_GB2312"/>
          <w:b/>
          <w:color w:val="auto"/>
          <w:kern w:val="2"/>
          <w:sz w:val="32"/>
          <w:szCs w:val="24"/>
          <w:highlight w:val="none"/>
          <w:lang w:bidi="ar"/>
        </w:rPr>
      </w:pPr>
      <w:r>
        <w:rPr>
          <w:rFonts w:hint="eastAsia" w:ascii="楷体_GB2312" w:hAnsi="楷体_GB2312" w:eastAsia="楷体_GB2312" w:cs="楷体_GB2312"/>
          <w:b/>
          <w:color w:val="auto"/>
          <w:kern w:val="2"/>
          <w:sz w:val="32"/>
          <w:szCs w:val="24"/>
          <w:highlight w:val="none"/>
          <w:lang w:bidi="ar"/>
        </w:rPr>
        <w:t xml:space="preserve">第五条 </w:t>
      </w:r>
      <w:r>
        <w:rPr>
          <w:rFonts w:hint="eastAsia" w:ascii="楷体_GB2312" w:hAnsi="楷体_GB2312" w:eastAsia="楷体_GB2312" w:cs="楷体_GB2312"/>
          <w:b/>
          <w:color w:val="auto"/>
          <w:kern w:val="2"/>
          <w:sz w:val="32"/>
          <w:szCs w:val="24"/>
          <w:highlight w:val="none"/>
          <w:lang w:val="en-US" w:eastAsia="zh-CN" w:bidi="ar"/>
        </w:rPr>
        <w:t xml:space="preserve"> </w:t>
      </w:r>
      <w:r>
        <w:rPr>
          <w:rFonts w:hint="eastAsia" w:ascii="楷体_GB2312" w:hAnsi="楷体_GB2312" w:eastAsia="楷体_GB2312" w:cs="楷体_GB2312"/>
          <w:b/>
          <w:color w:val="auto"/>
          <w:kern w:val="2"/>
          <w:sz w:val="32"/>
          <w:szCs w:val="24"/>
          <w:highlight w:val="none"/>
          <w:lang w:bidi="ar"/>
        </w:rPr>
        <w:t>重大创新平台建设支持</w:t>
      </w:r>
    </w:p>
    <w:p>
      <w:pPr>
        <w:pStyle w:val="12"/>
        <w:keepNext w:val="0"/>
        <w:keepLines w:val="0"/>
        <w:pageBreakBefore w:val="0"/>
        <w:widowControl w:val="0"/>
        <w:wordWrap/>
        <w:topLinePunct w:val="0"/>
        <w:bidi w:val="0"/>
        <w:spacing w:beforeAutospacing="0" w:after="0" w:afterAutospacing="0" w:line="560" w:lineRule="exact"/>
        <w:ind w:left="0" w:leftChars="0" w:firstLine="640" w:firstLineChars="200"/>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支持科技公共服务平台建设，</w:t>
      </w:r>
      <w:r>
        <w:rPr>
          <w:rFonts w:hint="eastAsia" w:ascii="仿宋_GB2312" w:hAnsi="仿宋_GB2312" w:eastAsia="仿宋_GB2312" w:cs="仿宋_GB2312"/>
          <w:kern w:val="0"/>
          <w:sz w:val="32"/>
          <w:szCs w:val="32"/>
          <w:highlight w:val="none"/>
          <w:lang w:val="en-US" w:eastAsia="zh-Hans" w:bidi="ar-SA"/>
        </w:rPr>
        <w:t>对</w:t>
      </w:r>
      <w:r>
        <w:rPr>
          <w:rFonts w:hint="eastAsia" w:ascii="仿宋_GB2312" w:hAnsi="仿宋_GB2312" w:eastAsia="仿宋_GB2312" w:cs="仿宋_GB2312"/>
          <w:kern w:val="0"/>
          <w:sz w:val="32"/>
          <w:szCs w:val="32"/>
          <w:highlight w:val="none"/>
          <w:lang w:val="en-US" w:eastAsia="zh-CN" w:bidi="ar-SA"/>
        </w:rPr>
        <w:t>围绕生物医药、医疗器械、合成生物学、细胞与基因等生命科技相关</w:t>
      </w:r>
      <w:r>
        <w:rPr>
          <w:rFonts w:hint="eastAsia" w:ascii="仿宋_GB2312" w:hAnsi="仿宋_GB2312" w:eastAsia="仿宋_GB2312" w:cs="仿宋_GB2312"/>
          <w:kern w:val="0"/>
          <w:sz w:val="32"/>
          <w:szCs w:val="32"/>
          <w:highlight w:val="none"/>
          <w:lang w:val="en-US" w:eastAsia="zh-Hans" w:bidi="ar-SA"/>
        </w:rPr>
        <w:t>产业</w:t>
      </w:r>
      <w:r>
        <w:rPr>
          <w:rFonts w:hint="eastAsia" w:ascii="仿宋_GB2312" w:hAnsi="仿宋_GB2312" w:eastAsia="仿宋_GB2312" w:cs="仿宋_GB2312"/>
          <w:kern w:val="0"/>
          <w:sz w:val="32"/>
          <w:szCs w:val="32"/>
          <w:highlight w:val="none"/>
          <w:lang w:val="en-US" w:eastAsia="zh-CN" w:bidi="ar-SA"/>
        </w:rPr>
        <w:t>发展</w:t>
      </w:r>
      <w:r>
        <w:rPr>
          <w:rFonts w:hint="eastAsia" w:ascii="仿宋_GB2312" w:hAnsi="仿宋_GB2312" w:eastAsia="仿宋_GB2312" w:cs="仿宋_GB2312"/>
          <w:kern w:val="0"/>
          <w:sz w:val="32"/>
          <w:szCs w:val="32"/>
          <w:highlight w:val="none"/>
          <w:lang w:val="en-US" w:eastAsia="zh-Hans" w:bidi="ar-SA"/>
        </w:rPr>
        <w:t>领域的</w:t>
      </w:r>
      <w:r>
        <w:rPr>
          <w:rFonts w:hint="eastAsia" w:ascii="仿宋_GB2312" w:hAnsi="仿宋_GB2312" w:eastAsia="仿宋_GB2312" w:cs="仿宋_GB2312"/>
          <w:kern w:val="0"/>
          <w:sz w:val="32"/>
          <w:szCs w:val="32"/>
          <w:highlight w:val="none"/>
          <w:lang w:val="en-US" w:eastAsia="zh-CN" w:bidi="ar-SA"/>
        </w:rPr>
        <w:t>技术研发和成果转化</w:t>
      </w:r>
      <w:r>
        <w:rPr>
          <w:rFonts w:hint="eastAsia" w:ascii="仿宋_GB2312" w:hAnsi="仿宋_GB2312" w:eastAsia="仿宋_GB2312" w:cs="仿宋_GB2312"/>
          <w:kern w:val="0"/>
          <w:sz w:val="32"/>
          <w:szCs w:val="32"/>
          <w:highlight w:val="none"/>
          <w:lang w:val="en-US" w:eastAsia="zh-Hans" w:bidi="ar-SA"/>
        </w:rPr>
        <w:t>共性</w:t>
      </w:r>
      <w:r>
        <w:rPr>
          <w:rFonts w:hint="eastAsia" w:ascii="仿宋_GB2312" w:hAnsi="仿宋_GB2312" w:eastAsia="仿宋_GB2312" w:cs="仿宋_GB2312"/>
          <w:kern w:val="0"/>
          <w:sz w:val="32"/>
          <w:szCs w:val="32"/>
          <w:highlight w:val="none"/>
          <w:lang w:val="en-US" w:eastAsia="zh-CN" w:bidi="ar-SA"/>
        </w:rPr>
        <w:t>服务需求</w:t>
      </w:r>
      <w:r>
        <w:rPr>
          <w:rFonts w:hint="eastAsia" w:ascii="仿宋_GB2312" w:hAnsi="仿宋_GB2312" w:eastAsia="仿宋_GB2312" w:cs="仿宋_GB2312"/>
          <w:kern w:val="0"/>
          <w:sz w:val="32"/>
          <w:szCs w:val="32"/>
          <w:highlight w:val="none"/>
          <w:lang w:val="en-US" w:eastAsia="zh-Hans" w:bidi="ar-SA"/>
        </w:rPr>
        <w:t>，</w:t>
      </w:r>
      <w:r>
        <w:rPr>
          <w:rFonts w:hint="eastAsia" w:ascii="仿宋_GB2312" w:hAnsi="仿宋_GB2312" w:eastAsia="仿宋_GB2312" w:cs="仿宋_GB2312"/>
          <w:kern w:val="0"/>
          <w:sz w:val="32"/>
          <w:szCs w:val="32"/>
          <w:highlight w:val="none"/>
          <w:lang w:val="en-US" w:eastAsia="zh-CN" w:bidi="ar-SA"/>
        </w:rPr>
        <w:t>提供临床转化、生物医药安全评价、CRO（合同研究组织）、CDMO（合同研发生产组织）</w:t>
      </w:r>
      <w:r>
        <w:rPr>
          <w:rFonts w:hint="eastAsia" w:ascii="仿宋_GB2312" w:hAnsi="仿宋_GB2312" w:eastAsia="仿宋_GB2312" w:cs="仿宋_GB2312"/>
          <w:kern w:val="0"/>
          <w:sz w:val="32"/>
          <w:szCs w:val="32"/>
          <w:highlight w:val="none"/>
          <w:lang w:val="en-US" w:eastAsia="zh-Hans" w:bidi="ar-SA"/>
        </w:rPr>
        <w:t>等</w:t>
      </w:r>
      <w:r>
        <w:rPr>
          <w:rFonts w:hint="eastAsia" w:ascii="仿宋_GB2312" w:hAnsi="仿宋_GB2312" w:eastAsia="仿宋_GB2312" w:cs="仿宋_GB2312"/>
          <w:kern w:val="0"/>
          <w:sz w:val="32"/>
          <w:szCs w:val="32"/>
          <w:highlight w:val="none"/>
          <w:lang w:val="en-US" w:eastAsia="zh-CN" w:bidi="ar-SA"/>
        </w:rPr>
        <w:t>公共服务</w:t>
      </w:r>
      <w:r>
        <w:rPr>
          <w:rFonts w:hint="eastAsia" w:ascii="仿宋_GB2312" w:hAnsi="仿宋_GB2312" w:eastAsia="仿宋_GB2312" w:cs="仿宋_GB2312"/>
          <w:kern w:val="0"/>
          <w:sz w:val="32"/>
          <w:szCs w:val="32"/>
          <w:highlight w:val="none"/>
          <w:lang w:val="en-US" w:eastAsia="zh-Hans" w:bidi="ar-SA"/>
        </w:rPr>
        <w:t>的创新</w:t>
      </w:r>
      <w:r>
        <w:rPr>
          <w:rFonts w:hint="eastAsia" w:ascii="仿宋_GB2312" w:hAnsi="仿宋_GB2312" w:eastAsia="仿宋_GB2312" w:cs="仿宋_GB2312"/>
          <w:kern w:val="0"/>
          <w:sz w:val="32"/>
          <w:szCs w:val="32"/>
          <w:highlight w:val="none"/>
          <w:lang w:val="en-US" w:eastAsia="zh-CN" w:bidi="ar-SA"/>
        </w:rPr>
        <w:t>平台，经区科技主管部门评审通过后</w:t>
      </w:r>
      <w:r>
        <w:rPr>
          <w:rFonts w:hint="eastAsia" w:ascii="仿宋_GB2312" w:hAnsi="仿宋_GB2312" w:eastAsia="仿宋_GB2312" w:cs="仿宋_GB2312"/>
          <w:kern w:val="0"/>
          <w:sz w:val="32"/>
          <w:szCs w:val="32"/>
          <w:highlight w:val="none"/>
          <w:lang w:val="en-US" w:eastAsia="zh-Hans" w:bidi="ar-SA"/>
        </w:rPr>
        <w:t>，</w:t>
      </w:r>
      <w:r>
        <w:rPr>
          <w:rFonts w:hint="eastAsia" w:ascii="仿宋_GB2312" w:hAnsi="仿宋_GB2312" w:eastAsia="仿宋_GB2312" w:cs="仿宋_GB2312"/>
          <w:kern w:val="0"/>
          <w:sz w:val="32"/>
          <w:szCs w:val="32"/>
          <w:highlight w:val="none"/>
          <w:lang w:val="en-US" w:eastAsia="zh-CN" w:bidi="ar-SA"/>
        </w:rPr>
        <w:t>每年最高资助2000万元，连续资助时间不超过3年。</w:t>
      </w:r>
    </w:p>
    <w:p>
      <w:pPr>
        <w:pStyle w:val="11"/>
        <w:keepNext w:val="0"/>
        <w:keepLines w:val="0"/>
        <w:pageBreakBefore w:val="0"/>
        <w:widowControl w:val="0"/>
        <w:wordWrap/>
        <w:topLinePunct w:val="0"/>
        <w:bidi w:val="0"/>
        <w:spacing w:beforeAutospacing="0" w:afterAutospacing="0" w:line="560" w:lineRule="exact"/>
        <w:ind w:left="0" w:leftChars="0" w:firstLine="643" w:firstLineChars="200"/>
        <w:rPr>
          <w:rFonts w:hint="eastAsia" w:ascii="楷体_GB2312" w:hAnsi="楷体_GB2312" w:eastAsia="楷体_GB2312" w:cs="楷体_GB2312"/>
          <w:b/>
          <w:color w:val="auto"/>
          <w:kern w:val="2"/>
          <w:sz w:val="32"/>
          <w:szCs w:val="24"/>
          <w:highlight w:val="none"/>
          <w:lang w:bidi="ar"/>
        </w:rPr>
      </w:pPr>
      <w:r>
        <w:rPr>
          <w:rFonts w:hint="eastAsia" w:ascii="楷体_GB2312" w:hAnsi="楷体_GB2312" w:eastAsia="楷体_GB2312" w:cs="楷体_GB2312"/>
          <w:b/>
          <w:color w:val="auto"/>
          <w:kern w:val="2"/>
          <w:sz w:val="32"/>
          <w:szCs w:val="24"/>
          <w:highlight w:val="none"/>
          <w:lang w:bidi="ar"/>
        </w:rPr>
        <w:t xml:space="preserve">第六条 </w:t>
      </w:r>
      <w:r>
        <w:rPr>
          <w:rFonts w:hint="eastAsia" w:ascii="楷体_GB2312" w:hAnsi="楷体_GB2312" w:eastAsia="楷体_GB2312" w:cs="楷体_GB2312"/>
          <w:b/>
          <w:color w:val="auto"/>
          <w:kern w:val="2"/>
          <w:sz w:val="32"/>
          <w:szCs w:val="24"/>
          <w:highlight w:val="none"/>
          <w:lang w:val="en-US" w:eastAsia="zh-CN" w:bidi="ar"/>
        </w:rPr>
        <w:t xml:space="preserve"> </w:t>
      </w:r>
      <w:r>
        <w:rPr>
          <w:rFonts w:hint="eastAsia" w:ascii="楷体_GB2312" w:hAnsi="楷体_GB2312" w:eastAsia="楷体_GB2312" w:cs="楷体_GB2312"/>
          <w:b/>
          <w:color w:val="auto"/>
          <w:kern w:val="2"/>
          <w:sz w:val="32"/>
          <w:szCs w:val="24"/>
          <w:highlight w:val="none"/>
          <w:lang w:bidi="ar"/>
        </w:rPr>
        <w:t>创新载体建设支持</w:t>
      </w:r>
    </w:p>
    <w:p>
      <w:pPr>
        <w:pStyle w:val="12"/>
        <w:keepNext w:val="0"/>
        <w:keepLines w:val="0"/>
        <w:pageBreakBefore w:val="0"/>
        <w:widowControl w:val="0"/>
        <w:wordWrap/>
        <w:topLinePunct w:val="0"/>
        <w:bidi w:val="0"/>
        <w:spacing w:beforeAutospacing="0" w:after="0" w:afterAutospacing="0" w:line="560" w:lineRule="exact"/>
        <w:ind w:left="0" w:leftChars="0" w:firstLine="640" w:firstLineChars="200"/>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（一）对上</w:t>
      </w:r>
      <w:r>
        <w:rPr>
          <w:rFonts w:hint="default" w:ascii="仿宋_GB2312" w:hAnsi="仿宋_GB2312" w:eastAsia="仿宋_GB2312" w:cs="仿宋_GB2312"/>
          <w:kern w:val="0"/>
          <w:sz w:val="32"/>
          <w:szCs w:val="32"/>
          <w:highlight w:val="none"/>
          <w:lang w:val="en-US" w:eastAsia="zh-CN" w:bidi="ar-SA"/>
        </w:rPr>
        <w:t>一</w:t>
      </w:r>
      <w:r>
        <w:rPr>
          <w:rFonts w:hint="eastAsia" w:ascii="仿宋_GB2312" w:hAnsi="仿宋_GB2312" w:eastAsia="仿宋_GB2312" w:cs="仿宋_GB2312"/>
          <w:kern w:val="0"/>
          <w:sz w:val="32"/>
          <w:szCs w:val="32"/>
          <w:highlight w:val="none"/>
          <w:lang w:val="en-US" w:eastAsia="zh-CN" w:bidi="ar-SA"/>
        </w:rPr>
        <w:t>年度承担生命科技领域相关的国家重点实验室、工程实验室、工程研究中心、企业技术中心等创新载体建设的企事业单位（以国家发改委、科技部发布的项目为准，同一项目不重复支持），每家单位奖励200万元。</w:t>
      </w:r>
    </w:p>
    <w:p>
      <w:pPr>
        <w:pStyle w:val="12"/>
        <w:keepNext w:val="0"/>
        <w:keepLines w:val="0"/>
        <w:pageBreakBefore w:val="0"/>
        <w:widowControl w:val="0"/>
        <w:wordWrap/>
        <w:topLinePunct w:val="0"/>
        <w:bidi w:val="0"/>
        <w:spacing w:beforeAutospacing="0" w:after="0" w:afterAutospacing="0" w:line="560" w:lineRule="exact"/>
        <w:ind w:left="0" w:leftChars="0" w:firstLine="640" w:firstLineChars="200"/>
        <w:rPr>
          <w:rFonts w:hint="default"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（二）鼓励辖区企业、公立医院、高校成立生命科技领域相关的联合实验室开展技术研发和人才培养，对上一年度成立的联合实验室，按实际出资方出资金额的30%给予资助，每家出资单位最高资助100万元</w:t>
      </w:r>
      <w:r>
        <w:rPr>
          <w:rFonts w:hint="default" w:ascii="仿宋_GB2312" w:hAnsi="仿宋_GB2312" w:eastAsia="仿宋_GB2312" w:cs="仿宋_GB2312"/>
          <w:kern w:val="0"/>
          <w:sz w:val="32"/>
          <w:szCs w:val="32"/>
          <w:highlight w:val="none"/>
          <w:lang w:val="en-US" w:eastAsia="zh-CN" w:bidi="ar-SA"/>
        </w:rPr>
        <w:t>。</w:t>
      </w:r>
    </w:p>
    <w:p>
      <w:pPr>
        <w:pStyle w:val="11"/>
        <w:keepNext w:val="0"/>
        <w:keepLines w:val="0"/>
        <w:pageBreakBefore w:val="0"/>
        <w:widowControl w:val="0"/>
        <w:wordWrap/>
        <w:topLinePunct w:val="0"/>
        <w:bidi w:val="0"/>
        <w:spacing w:beforeAutospacing="0" w:afterAutospacing="0" w:line="560" w:lineRule="exact"/>
        <w:ind w:left="0" w:leftChars="0" w:firstLine="643"/>
        <w:rPr>
          <w:rFonts w:hint="eastAsia" w:ascii="楷体_GB2312" w:hAnsi="楷体_GB2312" w:eastAsia="楷体_GB2312" w:cs="楷体_GB2312"/>
          <w:b/>
          <w:color w:val="auto"/>
          <w:kern w:val="2"/>
          <w:sz w:val="32"/>
          <w:szCs w:val="24"/>
          <w:highlight w:val="none"/>
          <w:lang w:bidi="ar"/>
        </w:rPr>
      </w:pPr>
      <w:r>
        <w:rPr>
          <w:rFonts w:hint="eastAsia" w:ascii="楷体_GB2312" w:hAnsi="楷体_GB2312" w:eastAsia="楷体_GB2312" w:cs="楷体_GB2312"/>
          <w:b/>
          <w:color w:val="auto"/>
          <w:kern w:val="2"/>
          <w:sz w:val="32"/>
          <w:szCs w:val="24"/>
          <w:highlight w:val="none"/>
          <w:lang w:bidi="ar"/>
        </w:rPr>
        <w:t xml:space="preserve">第七条 </w:t>
      </w:r>
      <w:r>
        <w:rPr>
          <w:rFonts w:hint="eastAsia" w:ascii="楷体_GB2312" w:hAnsi="楷体_GB2312" w:eastAsia="楷体_GB2312" w:cs="楷体_GB2312"/>
          <w:b/>
          <w:color w:val="auto"/>
          <w:kern w:val="2"/>
          <w:sz w:val="32"/>
          <w:szCs w:val="24"/>
          <w:highlight w:val="none"/>
          <w:lang w:val="en-US" w:eastAsia="zh-CN" w:bidi="ar"/>
        </w:rPr>
        <w:t xml:space="preserve"> </w:t>
      </w:r>
      <w:r>
        <w:rPr>
          <w:rFonts w:hint="eastAsia" w:ascii="楷体_GB2312" w:hAnsi="楷体_GB2312" w:eastAsia="楷体_GB2312" w:cs="楷体_GB2312"/>
          <w:b/>
          <w:color w:val="auto"/>
          <w:kern w:val="2"/>
          <w:sz w:val="32"/>
          <w:szCs w:val="24"/>
          <w:highlight w:val="none"/>
          <w:lang w:bidi="ar"/>
        </w:rPr>
        <w:t>新药创新能力提升</w:t>
      </w:r>
    </w:p>
    <w:p>
      <w:pPr>
        <w:keepNext w:val="0"/>
        <w:keepLines w:val="0"/>
        <w:pageBreakBefore w:val="0"/>
        <w:widowControl w:val="0"/>
        <w:wordWrap/>
        <w:topLinePunct w:val="0"/>
        <w:bidi w:val="0"/>
        <w:spacing w:beforeAutospacing="0" w:afterAutospacing="0" w:line="560" w:lineRule="exact"/>
        <w:ind w:left="0" w:leftChars="0" w:firstLine="640" w:firstLineChars="200"/>
        <w:rPr>
          <w:rFonts w:ascii="仿宋_GB2312" w:hAnsi="黑体"/>
          <w:szCs w:val="32"/>
          <w:highlight w:val="none"/>
        </w:rPr>
      </w:pPr>
      <w:r>
        <w:rPr>
          <w:rFonts w:hint="eastAsia" w:ascii="仿宋_GB2312" w:hAnsi="黑体"/>
          <w:szCs w:val="32"/>
          <w:highlight w:val="none"/>
        </w:rPr>
        <w:t>鼓励企业开展新药研发，对自主研发的生物医药创新产品，按照企业注册在南山区以后完成的不同研发阶段分步给予资助。</w:t>
      </w:r>
    </w:p>
    <w:p>
      <w:pPr>
        <w:keepNext w:val="0"/>
        <w:keepLines w:val="0"/>
        <w:pageBreakBefore w:val="0"/>
        <w:widowControl w:val="0"/>
        <w:wordWrap/>
        <w:topLinePunct w:val="0"/>
        <w:bidi w:val="0"/>
        <w:spacing w:beforeAutospacing="0" w:afterAutospacing="0" w:line="560" w:lineRule="exact"/>
        <w:ind w:left="0" w:leftChars="0" w:firstLine="640" w:firstLineChars="200"/>
        <w:rPr>
          <w:rFonts w:ascii="仿宋_GB2312" w:hAnsi="黑体"/>
          <w:szCs w:val="32"/>
          <w:highlight w:val="none"/>
        </w:rPr>
      </w:pPr>
      <w:r>
        <w:rPr>
          <w:rFonts w:ascii="仿宋_GB2312" w:hAnsi="黑体"/>
          <w:szCs w:val="32"/>
          <w:highlight w:val="none"/>
        </w:rPr>
        <w:t>（一）</w:t>
      </w:r>
      <w:r>
        <w:rPr>
          <w:rFonts w:hint="eastAsia" w:ascii="仿宋_GB2312" w:hAnsi="黑体"/>
          <w:szCs w:val="32"/>
          <w:highlight w:val="none"/>
        </w:rPr>
        <w:t>对第1类化学药、1类生物制品、1类中药及天然药物：近3年内完成临床前研究并开展临床试验的，每项资助150万元；近3年内完成I、II、III期临床实验的，每项分别资助200万元、500万元、800万元。</w:t>
      </w:r>
    </w:p>
    <w:p>
      <w:pPr>
        <w:keepNext w:val="0"/>
        <w:keepLines w:val="0"/>
        <w:pageBreakBefore w:val="0"/>
        <w:widowControl w:val="0"/>
        <w:wordWrap/>
        <w:topLinePunct w:val="0"/>
        <w:bidi w:val="0"/>
        <w:spacing w:beforeAutospacing="0" w:afterAutospacing="0" w:line="560" w:lineRule="exact"/>
        <w:ind w:left="0" w:leftChars="0" w:firstLine="640" w:firstLineChars="200"/>
        <w:rPr>
          <w:rFonts w:ascii="仿宋_GB2312" w:hAnsi="黑体"/>
          <w:szCs w:val="32"/>
          <w:highlight w:val="none"/>
        </w:rPr>
      </w:pPr>
      <w:r>
        <w:rPr>
          <w:rFonts w:ascii="仿宋_GB2312" w:hAnsi="黑体"/>
          <w:szCs w:val="32"/>
          <w:highlight w:val="none"/>
        </w:rPr>
        <w:t>（二）</w:t>
      </w:r>
      <w:r>
        <w:rPr>
          <w:rFonts w:hint="eastAsia" w:ascii="仿宋_GB2312" w:hAnsi="黑体"/>
          <w:szCs w:val="32"/>
          <w:highlight w:val="none"/>
        </w:rPr>
        <w:t>对第2类化学药、2-5类生物制品、2-6类中药及天然药物：近3年内完成临床前研究并开展临床试验的，每项资助50万元；近3年内完成I、II、III期临床实验的，每项分别资助80万元、200万元、400万元。</w:t>
      </w:r>
    </w:p>
    <w:p>
      <w:pPr>
        <w:keepNext w:val="0"/>
        <w:keepLines w:val="0"/>
        <w:pageBreakBefore w:val="0"/>
        <w:widowControl w:val="0"/>
        <w:wordWrap/>
        <w:topLinePunct w:val="0"/>
        <w:bidi w:val="0"/>
        <w:spacing w:beforeAutospacing="0" w:afterAutospacing="0" w:line="560" w:lineRule="exact"/>
        <w:ind w:left="0" w:leftChars="0" w:firstLine="640" w:firstLineChars="200"/>
        <w:rPr>
          <w:rFonts w:hint="eastAsia" w:ascii="仿宋_GB2312" w:hAnsi="黑体" w:cs="Times New Roman"/>
          <w:szCs w:val="32"/>
          <w:highlight w:val="none"/>
        </w:rPr>
      </w:pPr>
      <w:r>
        <w:rPr>
          <w:rFonts w:hint="eastAsia" w:ascii="仿宋_GB2312" w:hAnsi="黑体" w:cs="Times New Roman"/>
          <w:szCs w:val="32"/>
          <w:highlight w:val="none"/>
        </w:rPr>
        <w:t>每家企业每年最高资助2000万元。获得上述资助的药品其最终上市许可持有人需为南山区企业</w:t>
      </w:r>
      <w:r>
        <w:rPr>
          <w:rFonts w:hint="default" w:ascii="仿宋_GB2312" w:hAnsi="黑体" w:cs="Times New Roman"/>
          <w:szCs w:val="32"/>
          <w:highlight w:val="none"/>
        </w:rPr>
        <w:t>，且</w:t>
      </w:r>
      <w:r>
        <w:rPr>
          <w:rFonts w:hint="eastAsia" w:ascii="仿宋_GB2312" w:hAnsi="黑体" w:cs="Times New Roman"/>
          <w:szCs w:val="32"/>
          <w:highlight w:val="none"/>
        </w:rPr>
        <w:t>单位注册地、实际经营地、税务关系、统计关系变更需遵守与南山区相关约定。</w:t>
      </w:r>
    </w:p>
    <w:bookmarkEnd w:id="329"/>
    <w:bookmarkEnd w:id="330"/>
    <w:bookmarkEnd w:id="331"/>
    <w:p>
      <w:pPr>
        <w:pStyle w:val="11"/>
        <w:keepNext w:val="0"/>
        <w:keepLines w:val="0"/>
        <w:pageBreakBefore w:val="0"/>
        <w:widowControl w:val="0"/>
        <w:wordWrap/>
        <w:topLinePunct w:val="0"/>
        <w:bidi w:val="0"/>
        <w:spacing w:beforeAutospacing="0" w:afterAutospacing="0" w:line="560" w:lineRule="exact"/>
        <w:ind w:left="0" w:leftChars="0" w:firstLine="643"/>
        <w:rPr>
          <w:rFonts w:hint="eastAsia" w:ascii="楷体_GB2312" w:hAnsi="楷体_GB2312" w:eastAsia="楷体_GB2312" w:cs="楷体_GB2312"/>
          <w:b/>
          <w:color w:val="auto"/>
          <w:kern w:val="2"/>
          <w:sz w:val="32"/>
          <w:szCs w:val="24"/>
          <w:highlight w:val="none"/>
          <w:lang w:bidi="ar"/>
        </w:rPr>
      </w:pPr>
      <w:r>
        <w:rPr>
          <w:rFonts w:hint="eastAsia" w:ascii="楷体_GB2312" w:hAnsi="楷体_GB2312" w:eastAsia="楷体_GB2312" w:cs="楷体_GB2312"/>
          <w:b/>
          <w:color w:val="auto"/>
          <w:kern w:val="2"/>
          <w:sz w:val="32"/>
          <w:szCs w:val="24"/>
          <w:highlight w:val="none"/>
          <w:lang w:bidi="ar"/>
        </w:rPr>
        <w:t xml:space="preserve">第八条 </w:t>
      </w:r>
      <w:r>
        <w:rPr>
          <w:rFonts w:hint="eastAsia" w:ascii="楷体_GB2312" w:hAnsi="楷体_GB2312" w:eastAsia="楷体_GB2312" w:cs="楷体_GB2312"/>
          <w:b/>
          <w:color w:val="auto"/>
          <w:kern w:val="2"/>
          <w:sz w:val="32"/>
          <w:szCs w:val="24"/>
          <w:highlight w:val="none"/>
          <w:lang w:val="en-US" w:eastAsia="zh-CN" w:bidi="ar"/>
        </w:rPr>
        <w:t xml:space="preserve"> </w:t>
      </w:r>
      <w:r>
        <w:rPr>
          <w:rFonts w:hint="eastAsia" w:ascii="楷体_GB2312" w:hAnsi="楷体_GB2312" w:eastAsia="楷体_GB2312" w:cs="楷体_GB2312"/>
          <w:b/>
          <w:color w:val="auto"/>
          <w:kern w:val="2"/>
          <w:sz w:val="32"/>
          <w:szCs w:val="24"/>
          <w:highlight w:val="none"/>
          <w:lang w:bidi="ar"/>
        </w:rPr>
        <w:t>医疗器械研发支持</w:t>
      </w:r>
    </w:p>
    <w:p>
      <w:pPr>
        <w:keepNext w:val="0"/>
        <w:keepLines w:val="0"/>
        <w:pageBreakBefore w:val="0"/>
        <w:widowControl w:val="0"/>
        <w:wordWrap/>
        <w:topLinePunct w:val="0"/>
        <w:bidi w:val="0"/>
        <w:spacing w:beforeAutospacing="0" w:afterAutospacing="0" w:line="560" w:lineRule="exact"/>
        <w:ind w:left="0" w:leftChars="0" w:firstLine="640" w:firstLineChars="200"/>
        <w:rPr>
          <w:rFonts w:hint="eastAsia" w:ascii="仿宋_GB2312" w:hAnsi="黑体" w:cs="Times New Roman"/>
          <w:szCs w:val="32"/>
          <w:highlight w:val="none"/>
        </w:rPr>
      </w:pPr>
      <w:r>
        <w:rPr>
          <w:rFonts w:hint="eastAsia" w:ascii="仿宋_GB2312" w:hAnsi="黑体" w:cs="Times New Roman"/>
          <w:szCs w:val="32"/>
          <w:highlight w:val="none"/>
        </w:rPr>
        <w:t>对上一年度进入广东省医疗器械特别审查程序获得产品注册证的二类医疗器械品种奖励50万元，进入国家级创新医疗器械特别审查程序获得产品注册证的三类医疗器械品种奖励100万元。对上一年度通过一般程序首次注册并获得生产批件的二类、三类医疗器械产品，每项分别奖励20万元、50万元。每家企业每年最高奖励300万元。</w:t>
      </w:r>
    </w:p>
    <w:p>
      <w:pPr>
        <w:pStyle w:val="11"/>
        <w:keepNext w:val="0"/>
        <w:keepLines w:val="0"/>
        <w:pageBreakBefore w:val="0"/>
        <w:widowControl w:val="0"/>
        <w:wordWrap/>
        <w:topLinePunct w:val="0"/>
        <w:bidi w:val="0"/>
        <w:spacing w:beforeAutospacing="0" w:afterAutospacing="0" w:line="560" w:lineRule="exact"/>
        <w:ind w:left="0" w:leftChars="0" w:firstLine="643"/>
        <w:rPr>
          <w:rFonts w:hint="eastAsia" w:ascii="楷体_GB2312" w:hAnsi="楷体_GB2312" w:eastAsia="楷体_GB2312" w:cs="楷体_GB2312"/>
          <w:b/>
          <w:color w:val="auto"/>
          <w:kern w:val="2"/>
          <w:sz w:val="32"/>
          <w:szCs w:val="24"/>
          <w:highlight w:val="none"/>
          <w:lang w:bidi="ar"/>
        </w:rPr>
      </w:pPr>
      <w:r>
        <w:rPr>
          <w:rFonts w:hint="eastAsia" w:ascii="楷体_GB2312" w:hAnsi="楷体_GB2312" w:eastAsia="楷体_GB2312" w:cs="楷体_GB2312"/>
          <w:b/>
          <w:color w:val="auto"/>
          <w:kern w:val="2"/>
          <w:sz w:val="32"/>
          <w:szCs w:val="24"/>
          <w:highlight w:val="none"/>
          <w:lang w:bidi="ar"/>
        </w:rPr>
        <w:t xml:space="preserve">第九条 </w:t>
      </w:r>
      <w:r>
        <w:rPr>
          <w:rFonts w:hint="eastAsia" w:ascii="楷体_GB2312" w:hAnsi="楷体_GB2312" w:eastAsia="楷体_GB2312" w:cs="楷体_GB2312"/>
          <w:b/>
          <w:color w:val="auto"/>
          <w:kern w:val="2"/>
          <w:sz w:val="32"/>
          <w:szCs w:val="24"/>
          <w:highlight w:val="none"/>
          <w:lang w:val="en-US" w:eastAsia="zh-CN" w:bidi="ar"/>
        </w:rPr>
        <w:t xml:space="preserve"> </w:t>
      </w:r>
      <w:r>
        <w:rPr>
          <w:rFonts w:hint="eastAsia" w:ascii="楷体_GB2312" w:hAnsi="楷体_GB2312" w:eastAsia="楷体_GB2312" w:cs="楷体_GB2312"/>
          <w:b/>
          <w:color w:val="auto"/>
          <w:kern w:val="2"/>
          <w:sz w:val="32"/>
          <w:szCs w:val="24"/>
          <w:highlight w:val="none"/>
          <w:lang w:bidi="ar"/>
        </w:rPr>
        <w:t>高成长性企业培育</w:t>
      </w:r>
    </w:p>
    <w:p>
      <w:pPr>
        <w:keepNext w:val="0"/>
        <w:keepLines w:val="0"/>
        <w:pageBreakBefore w:val="0"/>
        <w:widowControl w:val="0"/>
        <w:wordWrap/>
        <w:topLinePunct w:val="0"/>
        <w:bidi w:val="0"/>
        <w:spacing w:beforeAutospacing="0" w:afterAutospacing="0" w:line="560" w:lineRule="exact"/>
        <w:ind w:left="0" w:leftChars="0" w:firstLine="640" w:firstLineChars="200"/>
        <w:rPr>
          <w:rFonts w:hint="eastAsia" w:ascii="仿宋_GB2312" w:hAnsi="黑体" w:cs="Times New Roman"/>
          <w:szCs w:val="32"/>
          <w:highlight w:val="none"/>
        </w:rPr>
      </w:pPr>
      <w:r>
        <w:rPr>
          <w:rFonts w:hint="eastAsia" w:ascii="仿宋_GB2312" w:hAnsi="黑体" w:cs="Times New Roman"/>
          <w:szCs w:val="32"/>
          <w:highlight w:val="none"/>
        </w:rPr>
        <w:t>对成立5年以内（以首次申请时间计算）、近3年累计获得融资额1亿元以上，且未享受南山区政策性产业用房的企业，按照其实际租金的30%给予补贴，每年最高补贴200万元，连续补贴时间不超过3年。</w:t>
      </w:r>
    </w:p>
    <w:p>
      <w:pPr>
        <w:pStyle w:val="11"/>
        <w:keepNext w:val="0"/>
        <w:keepLines w:val="0"/>
        <w:pageBreakBefore w:val="0"/>
        <w:widowControl w:val="0"/>
        <w:wordWrap/>
        <w:topLinePunct w:val="0"/>
        <w:bidi w:val="0"/>
        <w:spacing w:beforeAutospacing="0" w:afterAutospacing="0" w:line="560" w:lineRule="exact"/>
        <w:ind w:left="0" w:leftChars="0" w:firstLine="643"/>
        <w:rPr>
          <w:rFonts w:hint="eastAsia" w:ascii="楷体_GB2312" w:hAnsi="楷体_GB2312" w:eastAsia="楷体_GB2312" w:cs="楷体_GB2312"/>
          <w:b/>
          <w:color w:val="auto"/>
          <w:kern w:val="2"/>
          <w:sz w:val="32"/>
          <w:szCs w:val="24"/>
          <w:highlight w:val="none"/>
          <w:lang w:bidi="ar"/>
        </w:rPr>
      </w:pPr>
      <w:r>
        <w:rPr>
          <w:rFonts w:hint="eastAsia" w:ascii="楷体_GB2312" w:hAnsi="楷体_GB2312" w:eastAsia="楷体_GB2312" w:cs="楷体_GB2312"/>
          <w:b/>
          <w:color w:val="auto"/>
          <w:kern w:val="2"/>
          <w:sz w:val="32"/>
          <w:szCs w:val="24"/>
          <w:highlight w:val="none"/>
          <w:lang w:bidi="ar"/>
        </w:rPr>
        <w:t xml:space="preserve">第十条 </w:t>
      </w:r>
      <w:r>
        <w:rPr>
          <w:rFonts w:hint="eastAsia" w:ascii="楷体_GB2312" w:hAnsi="楷体_GB2312" w:eastAsia="楷体_GB2312" w:cs="楷体_GB2312"/>
          <w:b/>
          <w:color w:val="auto"/>
          <w:kern w:val="2"/>
          <w:sz w:val="32"/>
          <w:szCs w:val="24"/>
          <w:highlight w:val="none"/>
          <w:lang w:val="en-US" w:eastAsia="zh-CN" w:bidi="ar"/>
        </w:rPr>
        <w:t xml:space="preserve"> </w:t>
      </w:r>
      <w:r>
        <w:rPr>
          <w:rFonts w:hint="eastAsia" w:ascii="楷体_GB2312" w:hAnsi="楷体_GB2312" w:eastAsia="楷体_GB2312" w:cs="楷体_GB2312"/>
          <w:b/>
          <w:color w:val="auto"/>
          <w:kern w:val="2"/>
          <w:sz w:val="32"/>
          <w:szCs w:val="24"/>
          <w:highlight w:val="none"/>
          <w:lang w:bidi="ar"/>
        </w:rPr>
        <w:t>优质企业引进</w:t>
      </w:r>
    </w:p>
    <w:p>
      <w:pPr>
        <w:keepNext w:val="0"/>
        <w:keepLines w:val="0"/>
        <w:pageBreakBefore w:val="0"/>
        <w:widowControl w:val="0"/>
        <w:wordWrap/>
        <w:topLinePunct w:val="0"/>
        <w:bidi w:val="0"/>
        <w:spacing w:beforeAutospacing="0" w:afterAutospacing="0" w:line="560" w:lineRule="exact"/>
        <w:ind w:left="0" w:leftChars="0" w:firstLine="640" w:firstLineChars="200"/>
        <w:rPr>
          <w:rFonts w:ascii="仿宋_GB2312" w:hAnsi="黑体"/>
          <w:szCs w:val="32"/>
          <w:highlight w:val="none"/>
        </w:rPr>
      </w:pPr>
      <w:bookmarkStart w:id="332" w:name="_Toc14513"/>
      <w:bookmarkStart w:id="333" w:name="_Toc10283"/>
      <w:bookmarkStart w:id="334" w:name="_Toc5606"/>
      <w:r>
        <w:rPr>
          <w:rFonts w:ascii="仿宋_GB2312" w:hAnsi="黑体"/>
          <w:szCs w:val="32"/>
          <w:highlight w:val="none"/>
        </w:rPr>
        <w:t>（一）</w:t>
      </w:r>
      <w:r>
        <w:rPr>
          <w:rFonts w:hint="eastAsia" w:ascii="仿宋_GB2312" w:hAnsi="黑体"/>
          <w:szCs w:val="32"/>
          <w:highlight w:val="none"/>
        </w:rPr>
        <w:t>对新迁入南山区的药品上市许可持有人，其中第1类化学药、1类生物制品、1类中药及天然药物，每个批准文号奖励200万元；第2类化学药、2-5类生物制品、2-6类中药及天然药物，每个批准文号奖励100万元。同一申报单位最高奖励1000万元。</w:t>
      </w:r>
    </w:p>
    <w:p>
      <w:pPr>
        <w:keepNext w:val="0"/>
        <w:keepLines w:val="0"/>
        <w:pageBreakBefore w:val="0"/>
        <w:widowControl w:val="0"/>
        <w:wordWrap/>
        <w:topLinePunct w:val="0"/>
        <w:bidi w:val="0"/>
        <w:spacing w:beforeAutospacing="0" w:afterAutospacing="0" w:line="560" w:lineRule="exact"/>
        <w:ind w:left="0" w:leftChars="0" w:firstLine="640" w:firstLineChars="200"/>
        <w:rPr>
          <w:rFonts w:ascii="仿宋_GB2312" w:hAnsi="黑体"/>
          <w:szCs w:val="32"/>
          <w:highlight w:val="none"/>
        </w:rPr>
      </w:pPr>
      <w:r>
        <w:rPr>
          <w:rFonts w:ascii="仿宋_GB2312" w:hAnsi="黑体"/>
          <w:szCs w:val="32"/>
          <w:highlight w:val="none"/>
        </w:rPr>
        <w:t>（二）</w:t>
      </w:r>
      <w:r>
        <w:rPr>
          <w:rFonts w:hint="eastAsia" w:ascii="仿宋_GB2312" w:hAnsi="黑体"/>
          <w:szCs w:val="32"/>
          <w:highlight w:val="none"/>
        </w:rPr>
        <w:t>对新迁入南山区的医疗器械产品注册持有人，其中获得生产批件的二类医疗器械产品，每项奖励10万元；获得生产批件的三类医疗器械产品，每项奖励20万元。同一申报单位最高奖励150万元。</w:t>
      </w:r>
    </w:p>
    <w:p>
      <w:pPr>
        <w:keepNext w:val="0"/>
        <w:keepLines w:val="0"/>
        <w:pageBreakBefore w:val="0"/>
        <w:widowControl w:val="0"/>
        <w:wordWrap/>
        <w:topLinePunct w:val="0"/>
        <w:bidi w:val="0"/>
        <w:spacing w:beforeAutospacing="0" w:afterAutospacing="0" w:line="560" w:lineRule="exact"/>
        <w:ind w:left="0" w:leftChars="0" w:firstLine="640" w:firstLineChars="200"/>
        <w:rPr>
          <w:rFonts w:hint="eastAsia" w:ascii="仿宋_GB2312" w:hAnsi="黑体" w:cs="Times New Roman"/>
          <w:szCs w:val="32"/>
          <w:highlight w:val="none"/>
        </w:rPr>
      </w:pPr>
      <w:r>
        <w:rPr>
          <w:rFonts w:hint="eastAsia" w:ascii="仿宋_GB2312" w:hAnsi="黑体" w:cs="Times New Roman"/>
          <w:szCs w:val="32"/>
          <w:highlight w:val="none"/>
        </w:rPr>
        <w:t>（三）对中国医药工业百强企业或者上市企业实行“一企一策”，在资金扶持、用地用房、人才奖励、注册审批、政府服务等方面定制专项支持政策报区政府审定后予以实施。</w:t>
      </w:r>
    </w:p>
    <w:p>
      <w:pPr>
        <w:keepNext w:val="0"/>
        <w:keepLines w:val="0"/>
        <w:pageBreakBefore w:val="0"/>
        <w:widowControl w:val="0"/>
        <w:wordWrap/>
        <w:topLinePunct w:val="0"/>
        <w:bidi w:val="0"/>
        <w:spacing w:beforeAutospacing="0" w:afterAutospacing="0" w:line="560" w:lineRule="exact"/>
        <w:ind w:left="0" w:leftChars="0" w:firstLine="640" w:firstLineChars="200"/>
        <w:rPr>
          <w:rFonts w:hint="eastAsia" w:ascii="仿宋_GB2312" w:hAnsi="黑体" w:cs="Times New Roman"/>
          <w:szCs w:val="32"/>
          <w:highlight w:val="none"/>
        </w:rPr>
      </w:pPr>
      <w:r>
        <w:rPr>
          <w:rFonts w:hint="eastAsia" w:ascii="仿宋_GB2312" w:hAnsi="黑体" w:cs="Times New Roman"/>
          <w:szCs w:val="32"/>
          <w:highlight w:val="none"/>
        </w:rPr>
        <w:t>获得上述政策资助的单位注册地、实际经营地、税务关系、统计关系变更需遵守与南山区相关约定。</w:t>
      </w:r>
    </w:p>
    <w:p>
      <w:pPr>
        <w:pStyle w:val="11"/>
        <w:keepNext w:val="0"/>
        <w:keepLines w:val="0"/>
        <w:pageBreakBefore w:val="0"/>
        <w:widowControl w:val="0"/>
        <w:wordWrap/>
        <w:topLinePunct w:val="0"/>
        <w:bidi w:val="0"/>
        <w:spacing w:beforeAutospacing="0" w:afterAutospacing="0" w:line="560" w:lineRule="exact"/>
        <w:ind w:left="0" w:leftChars="0" w:firstLine="643"/>
        <w:rPr>
          <w:rFonts w:hint="eastAsia" w:ascii="楷体_GB2312" w:hAnsi="楷体_GB2312" w:eastAsia="楷体_GB2312" w:cs="楷体_GB2312"/>
          <w:b/>
          <w:color w:val="auto"/>
          <w:kern w:val="2"/>
          <w:sz w:val="32"/>
          <w:szCs w:val="24"/>
          <w:highlight w:val="none"/>
          <w:lang w:bidi="ar"/>
        </w:rPr>
      </w:pPr>
      <w:r>
        <w:rPr>
          <w:rFonts w:hint="eastAsia" w:ascii="楷体_GB2312" w:hAnsi="楷体_GB2312" w:eastAsia="楷体_GB2312" w:cs="楷体_GB2312"/>
          <w:b/>
          <w:color w:val="auto"/>
          <w:kern w:val="2"/>
          <w:sz w:val="32"/>
          <w:szCs w:val="24"/>
          <w:highlight w:val="none"/>
          <w:lang w:bidi="ar"/>
        </w:rPr>
        <w:t xml:space="preserve">第十一条 </w:t>
      </w:r>
      <w:r>
        <w:rPr>
          <w:rFonts w:hint="eastAsia" w:ascii="楷体_GB2312" w:hAnsi="楷体_GB2312" w:eastAsia="楷体_GB2312" w:cs="楷体_GB2312"/>
          <w:b/>
          <w:color w:val="auto"/>
          <w:kern w:val="2"/>
          <w:sz w:val="32"/>
          <w:szCs w:val="24"/>
          <w:highlight w:val="none"/>
          <w:lang w:val="en-US" w:eastAsia="zh-CN" w:bidi="ar"/>
        </w:rPr>
        <w:t xml:space="preserve"> </w:t>
      </w:r>
      <w:r>
        <w:rPr>
          <w:rFonts w:hint="eastAsia" w:ascii="楷体_GB2312" w:hAnsi="楷体_GB2312" w:eastAsia="楷体_GB2312" w:cs="楷体_GB2312"/>
          <w:b/>
          <w:color w:val="auto"/>
          <w:kern w:val="2"/>
          <w:sz w:val="32"/>
          <w:szCs w:val="24"/>
          <w:highlight w:val="none"/>
          <w:lang w:bidi="ar"/>
        </w:rPr>
        <w:t>高层次人才创新创业支持</w:t>
      </w:r>
    </w:p>
    <w:p>
      <w:pPr>
        <w:keepNext w:val="0"/>
        <w:keepLines w:val="0"/>
        <w:pageBreakBefore w:val="0"/>
        <w:widowControl w:val="0"/>
        <w:wordWrap/>
        <w:topLinePunct w:val="0"/>
        <w:bidi w:val="0"/>
        <w:spacing w:beforeAutospacing="0" w:afterAutospacing="0" w:line="560" w:lineRule="exact"/>
        <w:ind w:left="0" w:leftChars="0" w:firstLine="640" w:firstLineChars="200"/>
        <w:rPr>
          <w:rFonts w:ascii="仿宋_GB2312" w:hAnsi="黑体"/>
          <w:szCs w:val="32"/>
          <w:highlight w:val="none"/>
        </w:rPr>
      </w:pPr>
      <w:r>
        <w:rPr>
          <w:rFonts w:hint="eastAsia" w:ascii="仿宋_GB2312" w:hAnsi="黑体"/>
          <w:szCs w:val="32"/>
          <w:highlight w:val="none"/>
        </w:rPr>
        <w:t>（一）对经评价认定的顶尖人才创办的生命科技</w:t>
      </w:r>
      <w:r>
        <w:rPr>
          <w:rFonts w:ascii="仿宋_GB2312" w:hAnsi="黑体"/>
          <w:szCs w:val="32"/>
          <w:highlight w:val="none"/>
        </w:rPr>
        <w:t>领域相关</w:t>
      </w:r>
      <w:r>
        <w:rPr>
          <w:rFonts w:hint="eastAsia" w:ascii="仿宋_GB2312" w:hAnsi="黑体"/>
          <w:szCs w:val="32"/>
          <w:highlight w:val="none"/>
        </w:rPr>
        <w:t>企业，符合南山区产业发展导向且经区科技主管部门评审通过的，</w:t>
      </w:r>
      <w:r>
        <w:rPr>
          <w:rFonts w:hint="eastAsia"/>
          <w:highlight w:val="none"/>
        </w:rPr>
        <w:t>给予最高</w:t>
      </w:r>
      <w:r>
        <w:rPr>
          <w:rFonts w:hint="eastAsia" w:ascii="仿宋_GB2312" w:hAnsi="仿宋_GB2312" w:cs="仿宋_GB2312"/>
          <w:highlight w:val="none"/>
        </w:rPr>
        <w:t>2000万</w:t>
      </w:r>
      <w:r>
        <w:rPr>
          <w:rFonts w:hint="eastAsia"/>
          <w:highlight w:val="none"/>
        </w:rPr>
        <w:t>元资助。</w:t>
      </w:r>
    </w:p>
    <w:p>
      <w:pPr>
        <w:keepNext w:val="0"/>
        <w:keepLines w:val="0"/>
        <w:pageBreakBefore w:val="0"/>
        <w:widowControl w:val="0"/>
        <w:wordWrap/>
        <w:topLinePunct w:val="0"/>
        <w:bidi w:val="0"/>
        <w:spacing w:beforeAutospacing="0" w:afterAutospacing="0" w:line="560" w:lineRule="exact"/>
        <w:ind w:left="0" w:leftChars="0" w:firstLine="640" w:firstLineChars="200"/>
        <w:rPr>
          <w:rFonts w:ascii="仿宋_GB2312" w:hAnsi="仿宋_GB2312" w:cs="仿宋_GB2312"/>
          <w:szCs w:val="32"/>
          <w:highlight w:val="none"/>
        </w:rPr>
      </w:pPr>
      <w:r>
        <w:rPr>
          <w:rFonts w:hint="eastAsia" w:ascii="仿宋_GB2312" w:hAnsi="黑体"/>
          <w:szCs w:val="32"/>
          <w:highlight w:val="none"/>
        </w:rPr>
        <w:t>（二）对获得广东省引进创新创业团队、深圳市高层次人才团队立项的南山区生命科技</w:t>
      </w:r>
      <w:r>
        <w:rPr>
          <w:rFonts w:ascii="仿宋_GB2312" w:hAnsi="黑体"/>
          <w:szCs w:val="32"/>
          <w:highlight w:val="none"/>
        </w:rPr>
        <w:t>领域相关</w:t>
      </w:r>
      <w:r>
        <w:rPr>
          <w:rFonts w:hint="eastAsia" w:ascii="仿宋_GB2312" w:hAnsi="黑体"/>
          <w:szCs w:val="32"/>
          <w:highlight w:val="none"/>
        </w:rPr>
        <w:t>企业，或由广东省引进创新创业团队、深圳市高层次人才团队在南山区注册成立的、具有良好产业化前景</w:t>
      </w:r>
      <w:r>
        <w:rPr>
          <w:rFonts w:ascii="仿宋_GB2312" w:hAnsi="黑体"/>
          <w:szCs w:val="32"/>
          <w:highlight w:val="none"/>
        </w:rPr>
        <w:t>的</w:t>
      </w:r>
      <w:r>
        <w:rPr>
          <w:rFonts w:hint="eastAsia" w:ascii="仿宋_GB2312" w:hAnsi="黑体"/>
          <w:szCs w:val="32"/>
          <w:highlight w:val="none"/>
        </w:rPr>
        <w:t>生命科技</w:t>
      </w:r>
      <w:r>
        <w:rPr>
          <w:rFonts w:ascii="仿宋_GB2312" w:hAnsi="黑体"/>
          <w:szCs w:val="32"/>
          <w:highlight w:val="none"/>
        </w:rPr>
        <w:t>领域相关企业，</w:t>
      </w:r>
      <w:r>
        <w:rPr>
          <w:rFonts w:hint="eastAsia" w:ascii="仿宋_GB2312" w:hAnsi="黑体"/>
          <w:szCs w:val="32"/>
          <w:highlight w:val="none"/>
        </w:rPr>
        <w:t>经区科技主管部门评审通过</w:t>
      </w:r>
      <w:r>
        <w:rPr>
          <w:rFonts w:ascii="仿宋_GB2312" w:hAnsi="黑体"/>
          <w:szCs w:val="32"/>
          <w:highlight w:val="none"/>
        </w:rPr>
        <w:t>的</w:t>
      </w:r>
      <w:r>
        <w:rPr>
          <w:rFonts w:hint="eastAsia" w:ascii="仿宋_GB2312" w:hAnsi="黑体"/>
          <w:szCs w:val="32"/>
          <w:highlight w:val="none"/>
        </w:rPr>
        <w:t>，</w:t>
      </w:r>
      <w:r>
        <w:rPr>
          <w:rFonts w:hint="eastAsia"/>
          <w:highlight w:val="none"/>
        </w:rPr>
        <w:t>给予最高</w:t>
      </w:r>
      <w:r>
        <w:rPr>
          <w:rFonts w:hint="eastAsia" w:ascii="仿宋_GB2312" w:hAnsi="仿宋_GB2312" w:cs="仿宋_GB2312"/>
          <w:highlight w:val="none"/>
        </w:rPr>
        <w:t>2000万元资助。</w:t>
      </w:r>
    </w:p>
    <w:p>
      <w:pPr>
        <w:keepNext w:val="0"/>
        <w:keepLines w:val="0"/>
        <w:pageBreakBefore w:val="0"/>
        <w:widowControl w:val="0"/>
        <w:wordWrap/>
        <w:topLinePunct w:val="0"/>
        <w:bidi w:val="0"/>
        <w:spacing w:beforeAutospacing="0" w:afterAutospacing="0" w:line="560" w:lineRule="exact"/>
        <w:ind w:left="0" w:leftChars="0" w:firstLine="640" w:firstLineChars="200"/>
        <w:rPr>
          <w:rFonts w:hint="eastAsia" w:ascii="仿宋_GB2312" w:hAnsi="黑体" w:cs="Times New Roman"/>
          <w:szCs w:val="32"/>
          <w:highlight w:val="none"/>
        </w:rPr>
      </w:pPr>
      <w:r>
        <w:rPr>
          <w:rFonts w:hint="eastAsia" w:ascii="仿宋_GB2312" w:hAnsi="黑体" w:cs="Times New Roman"/>
          <w:szCs w:val="32"/>
          <w:highlight w:val="none"/>
        </w:rPr>
        <w:t>对于本措施出台前已获得南山区高层次人才团队资助的市团队项目，可根据项目产业化营业收入、获得机构投资情况给予最高1000万元奖励。</w:t>
      </w:r>
    </w:p>
    <w:p>
      <w:pPr>
        <w:pStyle w:val="11"/>
        <w:keepNext w:val="0"/>
        <w:keepLines w:val="0"/>
        <w:pageBreakBefore w:val="0"/>
        <w:widowControl w:val="0"/>
        <w:wordWrap/>
        <w:topLinePunct w:val="0"/>
        <w:bidi w:val="0"/>
        <w:spacing w:beforeAutospacing="0" w:afterAutospacing="0" w:line="560" w:lineRule="exact"/>
        <w:ind w:left="0" w:leftChars="0" w:firstLine="643"/>
        <w:rPr>
          <w:rFonts w:hint="eastAsia" w:ascii="楷体_GB2312" w:hAnsi="楷体_GB2312" w:eastAsia="楷体_GB2312" w:cs="楷体_GB2312"/>
          <w:b/>
          <w:color w:val="auto"/>
          <w:kern w:val="2"/>
          <w:sz w:val="32"/>
          <w:szCs w:val="24"/>
          <w:highlight w:val="none"/>
          <w:lang w:bidi="ar"/>
        </w:rPr>
      </w:pPr>
      <w:r>
        <w:rPr>
          <w:rFonts w:hint="eastAsia" w:ascii="楷体_GB2312" w:hAnsi="楷体_GB2312" w:eastAsia="楷体_GB2312" w:cs="楷体_GB2312"/>
          <w:b/>
          <w:color w:val="auto"/>
          <w:kern w:val="2"/>
          <w:sz w:val="32"/>
          <w:szCs w:val="24"/>
          <w:highlight w:val="none"/>
          <w:lang w:bidi="ar"/>
        </w:rPr>
        <w:t xml:space="preserve">第十二条 </w:t>
      </w:r>
      <w:r>
        <w:rPr>
          <w:rFonts w:hint="eastAsia" w:ascii="楷体_GB2312" w:hAnsi="楷体_GB2312" w:eastAsia="楷体_GB2312" w:cs="楷体_GB2312"/>
          <w:b/>
          <w:color w:val="auto"/>
          <w:kern w:val="2"/>
          <w:sz w:val="32"/>
          <w:szCs w:val="24"/>
          <w:highlight w:val="none"/>
          <w:lang w:val="en-US" w:eastAsia="zh-CN" w:bidi="ar"/>
        </w:rPr>
        <w:t xml:space="preserve"> </w:t>
      </w:r>
      <w:r>
        <w:rPr>
          <w:rFonts w:hint="eastAsia" w:ascii="楷体_GB2312" w:hAnsi="楷体_GB2312" w:eastAsia="楷体_GB2312" w:cs="楷体_GB2312"/>
          <w:b/>
          <w:color w:val="auto"/>
          <w:kern w:val="2"/>
          <w:sz w:val="32"/>
          <w:szCs w:val="24"/>
          <w:highlight w:val="none"/>
          <w:lang w:bidi="ar"/>
        </w:rPr>
        <w:t>科技金融支持</w:t>
      </w:r>
    </w:p>
    <w:p>
      <w:pPr>
        <w:keepNext w:val="0"/>
        <w:keepLines w:val="0"/>
        <w:pageBreakBefore w:val="0"/>
        <w:widowControl w:val="0"/>
        <w:wordWrap/>
        <w:topLinePunct w:val="0"/>
        <w:bidi w:val="0"/>
        <w:spacing w:beforeAutospacing="0" w:afterAutospacing="0" w:line="560" w:lineRule="exact"/>
        <w:ind w:left="0" w:leftChars="0" w:firstLine="640" w:firstLineChars="200"/>
        <w:rPr>
          <w:rFonts w:hint="eastAsia" w:ascii="仿宋_GB2312" w:hAnsi="黑体" w:cs="Times New Roman"/>
          <w:szCs w:val="32"/>
          <w:highlight w:val="none"/>
        </w:rPr>
      </w:pPr>
      <w:r>
        <w:rPr>
          <w:rFonts w:hint="eastAsia" w:ascii="仿宋_GB2312" w:hAnsi="黑体" w:cs="Times New Roman"/>
          <w:szCs w:val="32"/>
          <w:highlight w:val="none"/>
        </w:rPr>
        <w:t>（一）对在南山科技金融在线平台完成评级及备案，并获得流动资金贷款且按时还款的</w:t>
      </w:r>
      <w:r>
        <w:rPr>
          <w:rFonts w:hint="default" w:ascii="仿宋_GB2312" w:hAnsi="黑体" w:cs="Times New Roman"/>
          <w:szCs w:val="32"/>
          <w:highlight w:val="none"/>
        </w:rPr>
        <w:t>辖区内</w:t>
      </w:r>
      <w:r>
        <w:rPr>
          <w:rFonts w:hint="eastAsia" w:ascii="仿宋_GB2312" w:hAnsi="黑体" w:cs="Times New Roman"/>
          <w:szCs w:val="32"/>
          <w:highlight w:val="none"/>
        </w:rPr>
        <w:t>生命科技企业，在平台贷款贴息额度内，按照企业实际支付利息的70%给予补贴。每家企业每年最高资助100万元。</w:t>
      </w:r>
    </w:p>
    <w:p>
      <w:pPr>
        <w:keepNext w:val="0"/>
        <w:keepLines w:val="0"/>
        <w:pageBreakBefore w:val="0"/>
        <w:widowControl w:val="0"/>
        <w:wordWrap/>
        <w:topLinePunct w:val="0"/>
        <w:bidi w:val="0"/>
        <w:spacing w:beforeAutospacing="0" w:afterAutospacing="0" w:line="560" w:lineRule="exact"/>
        <w:ind w:left="0" w:leftChars="0" w:firstLine="640" w:firstLineChars="200"/>
        <w:rPr>
          <w:rFonts w:ascii="仿宋_GB2312"/>
          <w:szCs w:val="32"/>
          <w:highlight w:val="none"/>
        </w:rPr>
      </w:pPr>
      <w:r>
        <w:rPr>
          <w:rFonts w:ascii="仿宋_GB2312" w:hAnsi="黑体"/>
          <w:szCs w:val="32"/>
          <w:highlight w:val="none"/>
        </w:rPr>
        <w:t>（二）</w:t>
      </w:r>
      <w:r>
        <w:rPr>
          <w:rFonts w:hint="eastAsia" w:ascii="仿宋_GB2312"/>
          <w:szCs w:val="32"/>
          <w:highlight w:val="none"/>
        </w:rPr>
        <w:t>对成立</w:t>
      </w:r>
      <w:r>
        <w:rPr>
          <w:rFonts w:ascii="仿宋_GB2312"/>
          <w:szCs w:val="32"/>
          <w:highlight w:val="none"/>
        </w:rPr>
        <w:t>5</w:t>
      </w:r>
      <w:r>
        <w:rPr>
          <w:rFonts w:hint="eastAsia" w:ascii="仿宋_GB2312"/>
          <w:szCs w:val="32"/>
          <w:highlight w:val="none"/>
        </w:rPr>
        <w:t>年以内</w:t>
      </w:r>
      <w:r>
        <w:rPr>
          <w:rFonts w:hint="eastAsia" w:ascii="仿宋_GB2312"/>
          <w:szCs w:val="32"/>
          <w:highlight w:val="none"/>
          <w:lang w:eastAsia="zh-CN"/>
        </w:rPr>
        <w:t>，</w:t>
      </w:r>
      <w:r>
        <w:rPr>
          <w:rFonts w:hint="eastAsia" w:ascii="仿宋_GB2312"/>
          <w:szCs w:val="32"/>
          <w:highlight w:val="none"/>
        </w:rPr>
        <w:t>获得投资机构</w:t>
      </w:r>
      <w:r>
        <w:rPr>
          <w:rFonts w:hint="eastAsia" w:ascii="仿宋_GB2312"/>
          <w:szCs w:val="32"/>
          <w:highlight w:val="none"/>
          <w:lang w:eastAsia="zh-CN"/>
        </w:rPr>
        <w:t>投资的</w:t>
      </w:r>
      <w:r>
        <w:rPr>
          <w:rFonts w:hint="default" w:ascii="仿宋_GB2312"/>
          <w:szCs w:val="32"/>
          <w:highlight w:val="none"/>
        </w:rPr>
        <w:t>辖区内</w:t>
      </w:r>
      <w:r>
        <w:rPr>
          <w:rFonts w:hint="eastAsia" w:ascii="仿宋_GB2312"/>
          <w:szCs w:val="32"/>
          <w:highlight w:val="none"/>
          <w:lang w:eastAsia="zh-CN"/>
        </w:rPr>
        <w:t>种子期、初创期</w:t>
      </w:r>
      <w:r>
        <w:rPr>
          <w:rFonts w:hint="default" w:ascii="仿宋_GB2312"/>
          <w:szCs w:val="32"/>
          <w:highlight w:val="none"/>
        </w:rPr>
        <w:t>生命科技</w:t>
      </w:r>
      <w:r>
        <w:rPr>
          <w:rFonts w:hint="eastAsia" w:ascii="仿宋_GB2312"/>
          <w:szCs w:val="32"/>
          <w:highlight w:val="none"/>
        </w:rPr>
        <w:t>企业</w:t>
      </w:r>
      <w:r>
        <w:rPr>
          <w:rFonts w:hint="eastAsia" w:ascii="仿宋_GB2312"/>
          <w:szCs w:val="32"/>
          <w:highlight w:val="none"/>
          <w:lang w:eastAsia="zh-CN"/>
        </w:rPr>
        <w:t>，</w:t>
      </w:r>
      <w:r>
        <w:rPr>
          <w:rFonts w:hint="eastAsia" w:ascii="仿宋_GB2312"/>
          <w:szCs w:val="32"/>
          <w:highlight w:val="none"/>
        </w:rPr>
        <w:t>按照其上年度获得</w:t>
      </w:r>
      <w:r>
        <w:rPr>
          <w:rFonts w:hint="eastAsia" w:ascii="仿宋_GB2312"/>
          <w:szCs w:val="32"/>
          <w:highlight w:val="none"/>
          <w:lang w:eastAsia="zh-CN"/>
        </w:rPr>
        <w:t>实际</w:t>
      </w:r>
      <w:r>
        <w:rPr>
          <w:rFonts w:hint="eastAsia" w:ascii="仿宋_GB2312"/>
          <w:szCs w:val="32"/>
          <w:highlight w:val="none"/>
        </w:rPr>
        <w:t>投资额</w:t>
      </w:r>
      <w:r>
        <w:rPr>
          <w:rFonts w:hint="default" w:ascii="仿宋_GB2312"/>
          <w:szCs w:val="32"/>
          <w:highlight w:val="none"/>
        </w:rPr>
        <w:t>最高</w:t>
      </w:r>
      <w:r>
        <w:rPr>
          <w:rFonts w:hint="eastAsia" w:ascii="仿宋_GB2312"/>
          <w:szCs w:val="32"/>
          <w:highlight w:val="none"/>
          <w:lang w:val="en-US" w:eastAsia="zh-CN"/>
        </w:rPr>
        <w:t>10</w:t>
      </w:r>
      <w:r>
        <w:rPr>
          <w:rFonts w:ascii="仿宋_GB2312"/>
          <w:szCs w:val="32"/>
          <w:highlight w:val="none"/>
        </w:rPr>
        <w:t>%</w:t>
      </w:r>
      <w:r>
        <w:rPr>
          <w:rFonts w:hint="eastAsia" w:ascii="仿宋_GB2312"/>
          <w:szCs w:val="32"/>
          <w:highlight w:val="none"/>
        </w:rPr>
        <w:t>给予资助，每家企业每年最高资助</w:t>
      </w:r>
      <w:r>
        <w:rPr>
          <w:rFonts w:ascii="仿宋_GB2312"/>
          <w:szCs w:val="32"/>
          <w:highlight w:val="none"/>
        </w:rPr>
        <w:t>300</w:t>
      </w:r>
      <w:r>
        <w:rPr>
          <w:rFonts w:hint="eastAsia" w:ascii="仿宋_GB2312"/>
          <w:szCs w:val="32"/>
          <w:highlight w:val="none"/>
        </w:rPr>
        <w:t>万元。</w:t>
      </w:r>
    </w:p>
    <w:p>
      <w:pPr>
        <w:keepNext w:val="0"/>
        <w:keepLines w:val="0"/>
        <w:pageBreakBefore w:val="0"/>
        <w:widowControl w:val="0"/>
        <w:wordWrap/>
        <w:topLinePunct w:val="0"/>
        <w:bidi w:val="0"/>
        <w:spacing w:beforeAutospacing="0" w:afterAutospacing="0" w:line="560" w:lineRule="exact"/>
        <w:ind w:left="0" w:leftChars="0" w:firstLine="640" w:firstLineChars="200"/>
        <w:rPr>
          <w:highlight w:val="none"/>
        </w:rPr>
      </w:pPr>
      <w:r>
        <w:rPr>
          <w:rFonts w:ascii="仿宋_GB2312"/>
          <w:szCs w:val="32"/>
          <w:highlight w:val="none"/>
        </w:rPr>
        <w:t>（三）</w:t>
      </w:r>
      <w:r>
        <w:rPr>
          <w:rFonts w:hint="eastAsia" w:ascii="仿宋_GB2312"/>
          <w:szCs w:val="32"/>
          <w:highlight w:val="none"/>
        </w:rPr>
        <w:t>对成立</w:t>
      </w:r>
      <w:r>
        <w:rPr>
          <w:rFonts w:ascii="仿宋_GB2312"/>
          <w:szCs w:val="32"/>
          <w:highlight w:val="none"/>
        </w:rPr>
        <w:t>5</w:t>
      </w:r>
      <w:r>
        <w:rPr>
          <w:rFonts w:hint="eastAsia" w:ascii="仿宋_GB2312"/>
          <w:szCs w:val="32"/>
          <w:highlight w:val="none"/>
        </w:rPr>
        <w:t>年以内，近</w:t>
      </w:r>
      <w:r>
        <w:rPr>
          <w:rFonts w:ascii="仿宋_GB2312"/>
          <w:szCs w:val="32"/>
          <w:highlight w:val="none"/>
        </w:rPr>
        <w:t>3</w:t>
      </w:r>
      <w:r>
        <w:rPr>
          <w:rFonts w:hint="eastAsia" w:ascii="仿宋_GB2312"/>
          <w:szCs w:val="32"/>
          <w:highlight w:val="none"/>
        </w:rPr>
        <w:t>年累计获得投资机构</w:t>
      </w:r>
      <w:r>
        <w:rPr>
          <w:rFonts w:ascii="仿宋_GB2312"/>
          <w:szCs w:val="32"/>
          <w:highlight w:val="none"/>
        </w:rPr>
        <w:t>1</w:t>
      </w:r>
      <w:r>
        <w:rPr>
          <w:rFonts w:hint="eastAsia" w:ascii="仿宋_GB2312"/>
          <w:szCs w:val="32"/>
          <w:highlight w:val="none"/>
        </w:rPr>
        <w:t>亿元以上投资额的</w:t>
      </w:r>
      <w:r>
        <w:rPr>
          <w:rFonts w:hint="default" w:ascii="仿宋_GB2312"/>
          <w:szCs w:val="32"/>
          <w:highlight w:val="none"/>
        </w:rPr>
        <w:t>辖区内</w:t>
      </w:r>
      <w:r>
        <w:rPr>
          <w:rFonts w:hint="eastAsia" w:ascii="仿宋_GB2312"/>
          <w:szCs w:val="32"/>
          <w:highlight w:val="none"/>
        </w:rPr>
        <w:t>高成长生命科技企业，给予一次性</w:t>
      </w:r>
      <w:r>
        <w:rPr>
          <w:rFonts w:ascii="仿宋_GB2312"/>
          <w:szCs w:val="32"/>
          <w:highlight w:val="none"/>
        </w:rPr>
        <w:t>100</w:t>
      </w:r>
      <w:r>
        <w:rPr>
          <w:rFonts w:hint="eastAsia" w:ascii="仿宋_GB2312"/>
          <w:szCs w:val="32"/>
          <w:highlight w:val="none"/>
        </w:rPr>
        <w:t>万元资助。</w:t>
      </w:r>
    </w:p>
    <w:p>
      <w:pPr>
        <w:keepNext w:val="0"/>
        <w:keepLines w:val="0"/>
        <w:pageBreakBefore w:val="0"/>
        <w:widowControl w:val="0"/>
        <w:wordWrap/>
        <w:topLinePunct w:val="0"/>
        <w:bidi w:val="0"/>
        <w:spacing w:beforeAutospacing="0" w:afterAutospacing="0" w:line="560" w:lineRule="exact"/>
        <w:ind w:left="0" w:leftChars="0" w:firstLine="640" w:firstLineChars="200"/>
        <w:rPr>
          <w:rFonts w:hint="eastAsia" w:ascii="仿宋_GB2312" w:hAnsi="黑体" w:cs="Times New Roman"/>
          <w:szCs w:val="32"/>
          <w:highlight w:val="none"/>
        </w:rPr>
      </w:pPr>
      <w:r>
        <w:rPr>
          <w:rFonts w:hint="eastAsia" w:ascii="仿宋_GB2312" w:hAnsi="黑体" w:cs="Times New Roman"/>
          <w:szCs w:val="32"/>
          <w:highlight w:val="none"/>
        </w:rPr>
        <w:t>获得本条第（二）、（三）两点政策支持的企业当年可在南山科技金融在线平台申请贷款贴息额度20%的提升。</w:t>
      </w:r>
    </w:p>
    <w:p>
      <w:pPr>
        <w:keepNext w:val="0"/>
        <w:keepLines w:val="0"/>
        <w:pageBreakBefore w:val="0"/>
        <w:widowControl w:val="0"/>
        <w:wordWrap/>
        <w:topLinePunct w:val="0"/>
        <w:bidi w:val="0"/>
        <w:spacing w:beforeAutospacing="0" w:afterAutospacing="0" w:line="560" w:lineRule="exact"/>
        <w:ind w:left="0" w:leftChars="0" w:firstLine="640" w:firstLineChars="200"/>
        <w:contextualSpacing/>
        <w:rPr>
          <w:rFonts w:ascii="仿宋_GB2312"/>
          <w:szCs w:val="32"/>
          <w:highlight w:val="none"/>
        </w:rPr>
      </w:pPr>
      <w:r>
        <w:rPr>
          <w:rFonts w:ascii="仿宋_GB2312"/>
          <w:szCs w:val="32"/>
          <w:highlight w:val="none"/>
        </w:rPr>
        <w:t>本条第（二）、（三）</w:t>
      </w:r>
      <w:r>
        <w:rPr>
          <w:rFonts w:hint="eastAsia" w:ascii="仿宋_GB2312"/>
          <w:szCs w:val="32"/>
          <w:highlight w:val="none"/>
        </w:rPr>
        <w:t>两点政策所指投资机构为</w:t>
      </w:r>
      <w:r>
        <w:rPr>
          <w:rFonts w:hint="eastAsia" w:ascii="仿宋_GB2312"/>
          <w:szCs w:val="32"/>
          <w:highlight w:val="none"/>
          <w:lang w:eastAsia="zh-CN"/>
        </w:rPr>
        <w:t>区级（含）以上政府</w:t>
      </w:r>
      <w:r>
        <w:rPr>
          <w:rFonts w:hint="eastAsia" w:ascii="仿宋_GB2312"/>
          <w:szCs w:val="32"/>
          <w:highlight w:val="none"/>
        </w:rPr>
        <w:t>股权投资平台，或</w:t>
      </w:r>
      <w:r>
        <w:rPr>
          <w:rFonts w:hint="eastAsia" w:ascii="仿宋_GB2312"/>
          <w:szCs w:val="32"/>
          <w:highlight w:val="none"/>
          <w:lang w:eastAsia="zh-CN"/>
        </w:rPr>
        <w:t>位居</w:t>
      </w:r>
      <w:r>
        <w:rPr>
          <w:rFonts w:hint="eastAsia" w:ascii="仿宋_GB2312"/>
          <w:szCs w:val="32"/>
          <w:highlight w:val="none"/>
        </w:rPr>
        <w:t>上年度清科排名</w:t>
      </w:r>
      <w:r>
        <w:rPr>
          <w:rFonts w:hint="eastAsia" w:ascii="仿宋_GB2312"/>
          <w:szCs w:val="32"/>
          <w:highlight w:val="none"/>
          <w:lang w:eastAsia="zh-CN"/>
        </w:rPr>
        <w:t>总榜单</w:t>
      </w:r>
      <w:r>
        <w:rPr>
          <w:rFonts w:hint="eastAsia" w:ascii="仿宋_GB2312"/>
          <w:szCs w:val="32"/>
          <w:highlight w:val="none"/>
        </w:rPr>
        <w:t>的投资机构。</w:t>
      </w:r>
    </w:p>
    <w:p>
      <w:pPr>
        <w:keepNext w:val="0"/>
        <w:keepLines w:val="0"/>
        <w:pageBreakBefore w:val="0"/>
        <w:widowControl w:val="0"/>
        <w:wordWrap/>
        <w:topLinePunct w:val="0"/>
        <w:bidi w:val="0"/>
        <w:spacing w:beforeAutospacing="0" w:afterAutospacing="0" w:line="560" w:lineRule="exact"/>
        <w:ind w:left="0" w:leftChars="0" w:firstLine="640" w:firstLineChars="200"/>
        <w:rPr>
          <w:rFonts w:hint="eastAsia" w:ascii="仿宋_GB2312" w:hAnsi="黑体" w:cs="Times New Roman"/>
          <w:szCs w:val="32"/>
          <w:highlight w:val="none"/>
        </w:rPr>
      </w:pPr>
      <w:r>
        <w:rPr>
          <w:rFonts w:hint="eastAsia" w:ascii="仿宋_GB2312" w:hAnsi="黑体" w:cs="Times New Roman"/>
          <w:szCs w:val="32"/>
          <w:highlight w:val="none"/>
        </w:rPr>
        <w:t>同一家企业同一年度均符合本条第（二）、（三）两点政策，按照就高不就低原则，不重复支持。</w:t>
      </w:r>
    </w:p>
    <w:p>
      <w:pPr>
        <w:pStyle w:val="11"/>
        <w:keepNext w:val="0"/>
        <w:keepLines w:val="0"/>
        <w:pageBreakBefore w:val="0"/>
        <w:widowControl w:val="0"/>
        <w:wordWrap/>
        <w:topLinePunct w:val="0"/>
        <w:bidi w:val="0"/>
        <w:spacing w:beforeAutospacing="0" w:afterAutospacing="0" w:line="560" w:lineRule="exact"/>
        <w:ind w:left="0" w:leftChars="0" w:firstLine="643"/>
        <w:rPr>
          <w:rFonts w:hint="eastAsia" w:ascii="楷体_GB2312" w:hAnsi="楷体_GB2312" w:eastAsia="楷体_GB2312" w:cs="楷体_GB2312"/>
          <w:b/>
          <w:color w:val="auto"/>
          <w:kern w:val="2"/>
          <w:sz w:val="32"/>
          <w:szCs w:val="24"/>
          <w:highlight w:val="none"/>
          <w:lang w:bidi="ar"/>
        </w:rPr>
      </w:pPr>
      <w:r>
        <w:rPr>
          <w:rFonts w:hint="eastAsia" w:ascii="楷体_GB2312" w:hAnsi="楷体_GB2312" w:eastAsia="楷体_GB2312" w:cs="楷体_GB2312"/>
          <w:b/>
          <w:color w:val="auto"/>
          <w:kern w:val="2"/>
          <w:sz w:val="32"/>
          <w:szCs w:val="24"/>
          <w:highlight w:val="none"/>
          <w:lang w:bidi="ar"/>
        </w:rPr>
        <w:t xml:space="preserve">第十三条 </w:t>
      </w:r>
      <w:bookmarkEnd w:id="332"/>
      <w:bookmarkEnd w:id="333"/>
      <w:bookmarkEnd w:id="334"/>
      <w:r>
        <w:rPr>
          <w:rFonts w:hint="eastAsia" w:ascii="楷体_GB2312" w:hAnsi="楷体_GB2312" w:eastAsia="楷体_GB2312" w:cs="楷体_GB2312"/>
          <w:b/>
          <w:color w:val="auto"/>
          <w:kern w:val="2"/>
          <w:sz w:val="32"/>
          <w:szCs w:val="24"/>
          <w:highlight w:val="none"/>
          <w:lang w:val="en-US" w:eastAsia="zh-CN" w:bidi="ar"/>
        </w:rPr>
        <w:t xml:space="preserve"> </w:t>
      </w:r>
      <w:r>
        <w:rPr>
          <w:rFonts w:hint="eastAsia" w:ascii="楷体_GB2312" w:hAnsi="楷体_GB2312" w:eastAsia="楷体_GB2312" w:cs="楷体_GB2312"/>
          <w:b/>
          <w:color w:val="auto"/>
          <w:kern w:val="2"/>
          <w:sz w:val="32"/>
          <w:szCs w:val="24"/>
          <w:highlight w:val="none"/>
          <w:lang w:bidi="ar"/>
        </w:rPr>
        <w:t>污废处理费用补贴</w:t>
      </w:r>
    </w:p>
    <w:p>
      <w:pPr>
        <w:keepNext w:val="0"/>
        <w:keepLines w:val="0"/>
        <w:pageBreakBefore w:val="0"/>
        <w:widowControl w:val="0"/>
        <w:wordWrap/>
        <w:topLinePunct w:val="0"/>
        <w:bidi w:val="0"/>
        <w:spacing w:beforeAutospacing="0" w:afterAutospacing="0" w:line="560" w:lineRule="exact"/>
        <w:ind w:left="0" w:leftChars="0" w:firstLine="640" w:firstLineChars="200"/>
        <w:rPr>
          <w:rFonts w:hint="eastAsia" w:ascii="仿宋_GB2312" w:hAnsi="黑体" w:cs="Times New Roman"/>
          <w:szCs w:val="32"/>
          <w:highlight w:val="none"/>
        </w:rPr>
      </w:pPr>
      <w:r>
        <w:rPr>
          <w:rFonts w:hint="eastAsia" w:ascii="仿宋_GB2312" w:hAnsi="黑体" w:cs="Times New Roman"/>
          <w:szCs w:val="32"/>
          <w:highlight w:val="none"/>
        </w:rPr>
        <w:t>对企业支付的医药废物等危险废物处理费用，按不超过支出费用的50%给予补贴，每家企业每年最高补贴30万元。</w:t>
      </w:r>
    </w:p>
    <w:p>
      <w:pPr>
        <w:pStyle w:val="11"/>
        <w:keepNext w:val="0"/>
        <w:keepLines w:val="0"/>
        <w:pageBreakBefore w:val="0"/>
        <w:widowControl w:val="0"/>
        <w:wordWrap/>
        <w:topLinePunct w:val="0"/>
        <w:bidi w:val="0"/>
        <w:spacing w:beforeAutospacing="0" w:afterAutospacing="0" w:line="560" w:lineRule="exact"/>
        <w:ind w:left="0" w:leftChars="0" w:firstLine="643"/>
        <w:rPr>
          <w:rFonts w:hint="eastAsia" w:ascii="楷体_GB2312" w:hAnsi="楷体_GB2312" w:eastAsia="楷体_GB2312" w:cs="楷体_GB2312"/>
          <w:b/>
          <w:color w:val="auto"/>
          <w:kern w:val="2"/>
          <w:sz w:val="32"/>
          <w:szCs w:val="24"/>
          <w:highlight w:val="none"/>
          <w:lang w:bidi="ar"/>
        </w:rPr>
      </w:pPr>
      <w:r>
        <w:rPr>
          <w:rFonts w:hint="eastAsia" w:ascii="楷体_GB2312" w:hAnsi="楷体_GB2312" w:eastAsia="楷体_GB2312" w:cs="楷体_GB2312"/>
          <w:b/>
          <w:color w:val="auto"/>
          <w:kern w:val="2"/>
          <w:sz w:val="32"/>
          <w:szCs w:val="24"/>
          <w:highlight w:val="none"/>
          <w:lang w:bidi="ar"/>
        </w:rPr>
        <w:t xml:space="preserve">第十四条 </w:t>
      </w:r>
      <w:r>
        <w:rPr>
          <w:rFonts w:hint="eastAsia" w:ascii="楷体_GB2312" w:hAnsi="楷体_GB2312" w:eastAsia="楷体_GB2312" w:cs="楷体_GB2312"/>
          <w:b/>
          <w:color w:val="auto"/>
          <w:kern w:val="2"/>
          <w:sz w:val="32"/>
          <w:szCs w:val="24"/>
          <w:highlight w:val="none"/>
          <w:lang w:val="en-US" w:eastAsia="zh-CN" w:bidi="ar"/>
        </w:rPr>
        <w:t xml:space="preserve"> </w:t>
      </w:r>
      <w:r>
        <w:rPr>
          <w:rFonts w:hint="eastAsia" w:ascii="楷体_GB2312" w:hAnsi="楷体_GB2312" w:eastAsia="楷体_GB2312" w:cs="楷体_GB2312"/>
          <w:b/>
          <w:color w:val="auto"/>
          <w:kern w:val="2"/>
          <w:sz w:val="32"/>
          <w:szCs w:val="24"/>
          <w:highlight w:val="none"/>
          <w:lang w:bidi="ar"/>
        </w:rPr>
        <w:t>特殊需求空间建设</w:t>
      </w:r>
    </w:p>
    <w:p>
      <w:pPr>
        <w:keepNext w:val="0"/>
        <w:keepLines w:val="0"/>
        <w:pageBreakBefore w:val="0"/>
        <w:widowControl w:val="0"/>
        <w:wordWrap/>
        <w:topLinePunct w:val="0"/>
        <w:bidi w:val="0"/>
        <w:spacing w:beforeAutospacing="0" w:afterAutospacing="0" w:line="560" w:lineRule="exact"/>
        <w:ind w:left="0" w:leftChars="0" w:firstLine="640" w:firstLineChars="200"/>
        <w:rPr>
          <w:rFonts w:hint="eastAsia" w:ascii="仿宋_GB2312" w:hAnsi="黑体" w:cs="Times New Roman"/>
          <w:szCs w:val="32"/>
          <w:highlight w:val="none"/>
        </w:rPr>
      </w:pPr>
      <w:r>
        <w:rPr>
          <w:rFonts w:hint="eastAsia" w:ascii="仿宋_GB2312" w:hAnsi="黑体" w:cs="Times New Roman"/>
          <w:szCs w:val="32"/>
          <w:highlight w:val="none"/>
        </w:rPr>
        <w:t>（一）对于为满足生命科技企业发展需要，进行园区内硬件</w:t>
      </w:r>
      <w:bookmarkStart w:id="335" w:name="_Hlk104237972"/>
      <w:r>
        <w:rPr>
          <w:rFonts w:hint="eastAsia" w:ascii="仿宋_GB2312" w:hAnsi="黑体" w:cs="Times New Roman"/>
          <w:szCs w:val="32"/>
          <w:highlight w:val="none"/>
        </w:rPr>
        <w:t>设施建设或改造的</w:t>
      </w:r>
      <w:bookmarkEnd w:id="335"/>
      <w:r>
        <w:rPr>
          <w:rFonts w:hint="eastAsia" w:ascii="仿宋_GB2312" w:hAnsi="黑体" w:cs="Times New Roman"/>
          <w:szCs w:val="32"/>
          <w:highlight w:val="none"/>
        </w:rPr>
        <w:t>，</w:t>
      </w:r>
      <w:bookmarkStart w:id="336" w:name="_Hlk104237982"/>
      <w:r>
        <w:rPr>
          <w:rFonts w:hint="eastAsia" w:ascii="仿宋_GB2312" w:hAnsi="黑体" w:cs="Times New Roman"/>
          <w:szCs w:val="32"/>
          <w:highlight w:val="none"/>
        </w:rPr>
        <w:t>经区科技主管部门评审通过后，按照其建设费用的30%给予资助，每个园区每年最高资助500万元</w:t>
      </w:r>
      <w:bookmarkEnd w:id="336"/>
      <w:r>
        <w:rPr>
          <w:rFonts w:hint="eastAsia" w:ascii="仿宋_GB2312" w:hAnsi="黑体" w:cs="Times New Roman"/>
          <w:szCs w:val="32"/>
          <w:highlight w:val="none"/>
        </w:rPr>
        <w:t>。</w:t>
      </w:r>
    </w:p>
    <w:p>
      <w:pPr>
        <w:keepNext w:val="0"/>
        <w:keepLines w:val="0"/>
        <w:pageBreakBefore w:val="0"/>
        <w:widowControl w:val="0"/>
        <w:wordWrap/>
        <w:topLinePunct w:val="0"/>
        <w:bidi w:val="0"/>
        <w:spacing w:beforeAutospacing="0" w:afterAutospacing="0" w:line="560" w:lineRule="exact"/>
        <w:ind w:left="0" w:leftChars="0" w:firstLine="640" w:firstLineChars="200"/>
        <w:rPr>
          <w:rFonts w:hint="eastAsia" w:ascii="仿宋_GB2312" w:hAnsi="黑体" w:cs="Times New Roman"/>
          <w:szCs w:val="32"/>
          <w:highlight w:val="none"/>
        </w:rPr>
      </w:pPr>
      <w:bookmarkStart w:id="337" w:name="_Hlk104238006"/>
      <w:r>
        <w:rPr>
          <w:rFonts w:hint="eastAsia" w:ascii="仿宋_GB2312" w:hAnsi="黑体" w:cs="Times New Roman"/>
          <w:szCs w:val="32"/>
          <w:highlight w:val="none"/>
        </w:rPr>
        <w:t>（二）对符合南山区生命科技产业集聚园区相应标准的，按照园区对产业集聚的支撑力度给予奖励，每个园区每年最高奖励300万元，累计奖励时间不超过3年</w:t>
      </w:r>
      <w:bookmarkEnd w:id="337"/>
      <w:r>
        <w:rPr>
          <w:rFonts w:hint="eastAsia" w:ascii="仿宋_GB2312" w:hAnsi="黑体" w:cs="Times New Roman"/>
          <w:szCs w:val="32"/>
          <w:highlight w:val="none"/>
        </w:rPr>
        <w:t>。</w:t>
      </w:r>
    </w:p>
    <w:p>
      <w:pPr>
        <w:keepNext w:val="0"/>
        <w:keepLines w:val="0"/>
        <w:pageBreakBefore w:val="0"/>
        <w:widowControl w:val="0"/>
        <w:wordWrap/>
        <w:topLinePunct w:val="0"/>
        <w:bidi w:val="0"/>
        <w:spacing w:beforeAutospacing="0" w:afterAutospacing="0" w:line="560" w:lineRule="exact"/>
        <w:ind w:left="0" w:leftChars="0" w:firstLine="640" w:firstLineChars="200"/>
        <w:rPr>
          <w:rFonts w:hint="eastAsia" w:ascii="仿宋_GB2312" w:hAnsi="黑体" w:cs="Times New Roman"/>
          <w:szCs w:val="32"/>
          <w:highlight w:val="none"/>
        </w:rPr>
      </w:pPr>
      <w:bookmarkStart w:id="338" w:name="_Hlk104238067"/>
      <w:r>
        <w:rPr>
          <w:rFonts w:hint="eastAsia" w:ascii="仿宋_GB2312" w:hAnsi="黑体" w:cs="Times New Roman"/>
          <w:szCs w:val="32"/>
          <w:highlight w:val="none"/>
        </w:rPr>
        <w:t>（三）对获得市相关产业部门生命科技等领域特色产业园区认定的，按照获得相应市级建设资助的20%给予奖励，每个园区最高奖励1000万元</w:t>
      </w:r>
      <w:bookmarkEnd w:id="338"/>
      <w:r>
        <w:rPr>
          <w:rFonts w:hint="eastAsia" w:ascii="仿宋_GB2312" w:hAnsi="黑体" w:cs="Times New Roman"/>
          <w:szCs w:val="32"/>
          <w:highlight w:val="none"/>
        </w:rPr>
        <w:t>。</w:t>
      </w:r>
    </w:p>
    <w:p>
      <w:pPr>
        <w:pStyle w:val="11"/>
        <w:keepNext w:val="0"/>
        <w:keepLines w:val="0"/>
        <w:pageBreakBefore w:val="0"/>
        <w:widowControl w:val="0"/>
        <w:wordWrap/>
        <w:topLinePunct w:val="0"/>
        <w:bidi w:val="0"/>
        <w:spacing w:beforeAutospacing="0" w:afterAutospacing="0" w:line="560" w:lineRule="exact"/>
        <w:ind w:left="0" w:leftChars="0" w:firstLine="643"/>
        <w:rPr>
          <w:rFonts w:hint="eastAsia" w:ascii="楷体_GB2312" w:hAnsi="楷体_GB2312" w:eastAsia="楷体_GB2312" w:cs="楷体_GB2312"/>
          <w:b/>
          <w:color w:val="auto"/>
          <w:kern w:val="2"/>
          <w:sz w:val="32"/>
          <w:szCs w:val="24"/>
          <w:highlight w:val="none"/>
          <w:lang w:bidi="ar"/>
        </w:rPr>
      </w:pPr>
      <w:r>
        <w:rPr>
          <w:rFonts w:hint="eastAsia" w:ascii="楷体_GB2312" w:hAnsi="楷体_GB2312" w:eastAsia="楷体_GB2312" w:cs="楷体_GB2312"/>
          <w:b/>
          <w:color w:val="auto"/>
          <w:kern w:val="2"/>
          <w:sz w:val="32"/>
          <w:szCs w:val="24"/>
          <w:highlight w:val="none"/>
          <w:lang w:bidi="ar"/>
        </w:rPr>
        <w:t xml:space="preserve">第十五条 </w:t>
      </w:r>
      <w:r>
        <w:rPr>
          <w:rFonts w:hint="eastAsia" w:ascii="楷体_GB2312" w:hAnsi="楷体_GB2312" w:eastAsia="楷体_GB2312" w:cs="楷体_GB2312"/>
          <w:b/>
          <w:color w:val="auto"/>
          <w:kern w:val="2"/>
          <w:sz w:val="32"/>
          <w:szCs w:val="24"/>
          <w:highlight w:val="none"/>
          <w:lang w:val="en-US" w:eastAsia="zh-CN" w:bidi="ar"/>
        </w:rPr>
        <w:t xml:space="preserve"> </w:t>
      </w:r>
      <w:r>
        <w:rPr>
          <w:rFonts w:hint="eastAsia" w:ascii="楷体_GB2312" w:hAnsi="楷体_GB2312" w:eastAsia="楷体_GB2312" w:cs="楷体_GB2312"/>
          <w:b/>
          <w:color w:val="auto"/>
          <w:kern w:val="2"/>
          <w:sz w:val="32"/>
          <w:szCs w:val="24"/>
          <w:highlight w:val="none"/>
          <w:lang w:bidi="ar"/>
        </w:rPr>
        <w:t>海外市场拓展支持</w:t>
      </w:r>
    </w:p>
    <w:p>
      <w:pPr>
        <w:keepNext w:val="0"/>
        <w:keepLines w:val="0"/>
        <w:pageBreakBefore w:val="0"/>
        <w:widowControl w:val="0"/>
        <w:wordWrap/>
        <w:topLinePunct w:val="0"/>
        <w:bidi w:val="0"/>
        <w:spacing w:beforeAutospacing="0" w:afterAutospacing="0" w:line="560" w:lineRule="exact"/>
        <w:ind w:left="0" w:leftChars="0" w:firstLine="640" w:firstLineChars="200"/>
        <w:rPr>
          <w:rFonts w:hint="eastAsia" w:ascii="仿宋_GB2312" w:hAnsi="黑体" w:cs="Times New Roman"/>
          <w:szCs w:val="32"/>
          <w:highlight w:val="none"/>
        </w:rPr>
      </w:pPr>
      <w:r>
        <w:rPr>
          <w:rFonts w:hint="eastAsia" w:ascii="仿宋_GB2312" w:hAnsi="黑体" w:cs="Times New Roman"/>
          <w:szCs w:val="32"/>
          <w:highlight w:val="none"/>
        </w:rPr>
        <w:t>对于获得市相关产业部门海外市场开拓支持的生命科技类企业，按照获得市级资助金额的50%给予资助，每家企业每年最高资助500万元。</w:t>
      </w:r>
    </w:p>
    <w:p>
      <w:pPr>
        <w:pStyle w:val="11"/>
        <w:keepNext w:val="0"/>
        <w:keepLines w:val="0"/>
        <w:pageBreakBefore w:val="0"/>
        <w:widowControl w:val="0"/>
        <w:wordWrap/>
        <w:topLinePunct w:val="0"/>
        <w:bidi w:val="0"/>
        <w:spacing w:beforeAutospacing="0" w:afterAutospacing="0" w:line="560" w:lineRule="exact"/>
        <w:ind w:left="0" w:leftChars="0" w:firstLine="643"/>
        <w:rPr>
          <w:rFonts w:hint="eastAsia" w:ascii="楷体_GB2312" w:hAnsi="楷体_GB2312" w:eastAsia="楷体_GB2312" w:cs="楷体_GB2312"/>
          <w:b/>
          <w:color w:val="auto"/>
          <w:kern w:val="2"/>
          <w:sz w:val="32"/>
          <w:szCs w:val="24"/>
          <w:highlight w:val="none"/>
          <w:lang w:bidi="ar"/>
        </w:rPr>
      </w:pPr>
      <w:r>
        <w:rPr>
          <w:rFonts w:hint="eastAsia" w:ascii="楷体_GB2312" w:hAnsi="楷体_GB2312" w:eastAsia="楷体_GB2312" w:cs="楷体_GB2312"/>
          <w:b/>
          <w:color w:val="auto"/>
          <w:kern w:val="2"/>
          <w:sz w:val="32"/>
          <w:szCs w:val="24"/>
          <w:highlight w:val="none"/>
          <w:lang w:bidi="ar"/>
        </w:rPr>
        <w:t xml:space="preserve">第十六条 </w:t>
      </w:r>
      <w:r>
        <w:rPr>
          <w:rFonts w:hint="eastAsia" w:ascii="楷体_GB2312" w:hAnsi="楷体_GB2312" w:eastAsia="楷体_GB2312" w:cs="楷体_GB2312"/>
          <w:b/>
          <w:color w:val="auto"/>
          <w:kern w:val="2"/>
          <w:sz w:val="32"/>
          <w:szCs w:val="24"/>
          <w:highlight w:val="none"/>
          <w:lang w:val="en-US" w:eastAsia="zh-CN" w:bidi="ar"/>
        </w:rPr>
        <w:t xml:space="preserve"> </w:t>
      </w:r>
      <w:r>
        <w:rPr>
          <w:rFonts w:hint="eastAsia" w:ascii="楷体_GB2312" w:hAnsi="楷体_GB2312" w:eastAsia="楷体_GB2312" w:cs="楷体_GB2312"/>
          <w:b/>
          <w:color w:val="auto"/>
          <w:kern w:val="2"/>
          <w:sz w:val="32"/>
          <w:szCs w:val="24"/>
          <w:highlight w:val="none"/>
          <w:lang w:bidi="ar"/>
        </w:rPr>
        <w:t>重大科技创新活动支持</w:t>
      </w:r>
    </w:p>
    <w:p>
      <w:pPr>
        <w:keepNext w:val="0"/>
        <w:keepLines w:val="0"/>
        <w:pageBreakBefore w:val="0"/>
        <w:widowControl w:val="0"/>
        <w:wordWrap/>
        <w:topLinePunct w:val="0"/>
        <w:bidi w:val="0"/>
        <w:spacing w:beforeAutospacing="0" w:afterAutospacing="0" w:line="560" w:lineRule="exact"/>
        <w:ind w:left="0" w:leftChars="0" w:firstLine="640" w:firstLineChars="200"/>
        <w:rPr>
          <w:rFonts w:ascii="仿宋_GB2312"/>
          <w:bCs/>
          <w:kern w:val="44"/>
          <w:szCs w:val="32"/>
          <w:highlight w:val="none"/>
        </w:rPr>
      </w:pPr>
      <w:r>
        <w:rPr>
          <w:rFonts w:hint="eastAsia" w:ascii="仿宋_GB2312" w:hAnsi="宋体" w:cstheme="minorBidi"/>
          <w:bCs/>
          <w:szCs w:val="32"/>
          <w:highlight w:val="none"/>
        </w:rPr>
        <w:t>对国家、省、市、区政府有关部门</w:t>
      </w:r>
      <w:r>
        <w:rPr>
          <w:rFonts w:hint="eastAsia" w:ascii="仿宋_GB2312" w:hAnsi="仿宋_GB2312" w:cs="仿宋_GB2312"/>
          <w:szCs w:val="32"/>
          <w:highlight w:val="none"/>
          <w:lang w:bidi="ar"/>
        </w:rPr>
        <w:t>认定</w:t>
      </w:r>
      <w:r>
        <w:rPr>
          <w:rFonts w:hint="eastAsia" w:ascii="仿宋_GB2312" w:hAnsi="宋体" w:cstheme="minorBidi"/>
          <w:bCs/>
          <w:szCs w:val="32"/>
          <w:highlight w:val="none"/>
        </w:rPr>
        <w:t>的生命科技</w:t>
      </w:r>
      <w:r>
        <w:rPr>
          <w:rFonts w:ascii="仿宋_GB2312" w:hAnsi="宋体" w:cstheme="minorBidi"/>
          <w:bCs/>
          <w:szCs w:val="32"/>
          <w:highlight w:val="none"/>
        </w:rPr>
        <w:t>领域</w:t>
      </w:r>
      <w:r>
        <w:rPr>
          <w:rFonts w:hint="eastAsia" w:ascii="仿宋_GB2312" w:hAnsi="宋体" w:cstheme="minorBidi"/>
          <w:bCs/>
          <w:szCs w:val="32"/>
          <w:highlight w:val="none"/>
        </w:rPr>
        <w:t>重大科技创新活动，每个活动最高补贴200万元</w:t>
      </w:r>
      <w:r>
        <w:rPr>
          <w:rFonts w:hint="eastAsia" w:ascii="仿宋_GB2312"/>
          <w:bCs/>
          <w:kern w:val="44"/>
          <w:szCs w:val="32"/>
          <w:highlight w:val="none"/>
        </w:rPr>
        <w:t>。</w:t>
      </w:r>
    </w:p>
    <w:p>
      <w:pPr>
        <w:pStyle w:val="11"/>
        <w:keepNext w:val="0"/>
        <w:keepLines w:val="0"/>
        <w:pageBreakBefore w:val="0"/>
        <w:widowControl w:val="0"/>
        <w:wordWrap/>
        <w:topLinePunct w:val="0"/>
        <w:bidi w:val="0"/>
        <w:spacing w:beforeAutospacing="0" w:afterAutospacing="0" w:line="560" w:lineRule="exact"/>
        <w:ind w:left="0" w:leftChars="0" w:firstLine="643"/>
        <w:rPr>
          <w:rFonts w:hint="eastAsia" w:ascii="楷体_GB2312" w:hAnsi="楷体_GB2312" w:eastAsia="楷体_GB2312" w:cs="楷体_GB2312"/>
          <w:b/>
          <w:color w:val="auto"/>
          <w:kern w:val="2"/>
          <w:sz w:val="32"/>
          <w:szCs w:val="24"/>
          <w:highlight w:val="none"/>
          <w:lang w:bidi="ar"/>
        </w:rPr>
      </w:pPr>
      <w:r>
        <w:rPr>
          <w:rFonts w:hint="eastAsia" w:ascii="楷体_GB2312" w:hAnsi="楷体_GB2312" w:eastAsia="楷体_GB2312" w:cs="楷体_GB2312"/>
          <w:b/>
          <w:color w:val="auto"/>
          <w:kern w:val="2"/>
          <w:sz w:val="32"/>
          <w:szCs w:val="24"/>
          <w:highlight w:val="none"/>
          <w:lang w:bidi="ar"/>
        </w:rPr>
        <w:t xml:space="preserve">第十七条 </w:t>
      </w:r>
      <w:r>
        <w:rPr>
          <w:rFonts w:hint="eastAsia" w:ascii="楷体_GB2312" w:hAnsi="楷体_GB2312" w:eastAsia="楷体_GB2312" w:cs="楷体_GB2312"/>
          <w:b/>
          <w:color w:val="auto"/>
          <w:kern w:val="2"/>
          <w:sz w:val="32"/>
          <w:szCs w:val="24"/>
          <w:highlight w:val="none"/>
          <w:lang w:val="en-US" w:eastAsia="zh-CN" w:bidi="ar"/>
        </w:rPr>
        <w:t xml:space="preserve"> </w:t>
      </w:r>
      <w:r>
        <w:rPr>
          <w:rFonts w:hint="eastAsia" w:ascii="楷体_GB2312" w:hAnsi="楷体_GB2312" w:eastAsia="楷体_GB2312" w:cs="楷体_GB2312"/>
          <w:b/>
          <w:color w:val="auto"/>
          <w:kern w:val="2"/>
          <w:sz w:val="32"/>
          <w:szCs w:val="24"/>
          <w:highlight w:val="none"/>
          <w:lang w:bidi="ar"/>
        </w:rPr>
        <w:t>特别重大项目支持</w:t>
      </w:r>
    </w:p>
    <w:p>
      <w:pPr>
        <w:keepNext w:val="0"/>
        <w:keepLines w:val="0"/>
        <w:pageBreakBefore w:val="0"/>
        <w:widowControl w:val="0"/>
        <w:wordWrap/>
        <w:topLinePunct w:val="0"/>
        <w:bidi w:val="0"/>
        <w:spacing w:beforeAutospacing="0" w:afterAutospacing="0" w:line="560" w:lineRule="exact"/>
        <w:ind w:left="0" w:leftChars="0" w:firstLine="640" w:firstLineChars="200"/>
        <w:rPr>
          <w:rFonts w:ascii="仿宋_GB2312" w:hAnsi="宋体" w:cstheme="minorBidi"/>
          <w:bCs/>
          <w:szCs w:val="32"/>
          <w:highlight w:val="none"/>
        </w:rPr>
      </w:pPr>
      <w:r>
        <w:rPr>
          <w:rFonts w:ascii="仿宋_GB2312" w:hAnsi="宋体" w:cstheme="minorBidi"/>
          <w:bCs/>
          <w:szCs w:val="32"/>
          <w:highlight w:val="none"/>
        </w:rPr>
        <w:t>对</w:t>
      </w:r>
      <w:r>
        <w:rPr>
          <w:rFonts w:hint="eastAsia" w:ascii="仿宋_GB2312" w:hAnsi="宋体" w:cstheme="minorBidi"/>
          <w:bCs/>
          <w:szCs w:val="32"/>
          <w:highlight w:val="none"/>
        </w:rPr>
        <w:t>符合</w:t>
      </w:r>
      <w:r>
        <w:rPr>
          <w:rFonts w:ascii="仿宋_GB2312" w:hAnsi="宋体" w:cstheme="minorBidi"/>
          <w:bCs/>
          <w:szCs w:val="32"/>
          <w:highlight w:val="none"/>
        </w:rPr>
        <w:t>南山区战略</w:t>
      </w:r>
      <w:r>
        <w:rPr>
          <w:rFonts w:hint="eastAsia" w:ascii="仿宋_GB2312" w:hAnsi="宋体" w:cstheme="minorBidi"/>
          <w:bCs/>
          <w:szCs w:val="32"/>
          <w:highlight w:val="none"/>
        </w:rPr>
        <w:t>布</w:t>
      </w:r>
      <w:r>
        <w:rPr>
          <w:rFonts w:ascii="仿宋_GB2312" w:hAnsi="宋体" w:cstheme="minorBidi"/>
          <w:bCs/>
          <w:szCs w:val="32"/>
          <w:highlight w:val="none"/>
        </w:rPr>
        <w:t>局</w:t>
      </w:r>
      <w:r>
        <w:rPr>
          <w:rFonts w:hint="eastAsia" w:ascii="仿宋_GB2312" w:hAnsi="宋体" w:cstheme="minorBidi"/>
          <w:bCs/>
          <w:szCs w:val="32"/>
          <w:highlight w:val="none"/>
        </w:rPr>
        <w:t>，</w:t>
      </w:r>
      <w:r>
        <w:rPr>
          <w:rFonts w:ascii="仿宋_GB2312" w:hAnsi="宋体" w:cstheme="minorBidi"/>
          <w:bCs/>
          <w:szCs w:val="32"/>
          <w:highlight w:val="none"/>
        </w:rPr>
        <w:t>具有科技创新支撑作用的重大</w:t>
      </w:r>
      <w:r>
        <w:rPr>
          <w:rFonts w:hint="default" w:ascii="仿宋_GB2312" w:hAnsi="宋体" w:cstheme="minorBidi"/>
          <w:bCs/>
          <w:szCs w:val="32"/>
          <w:highlight w:val="none"/>
        </w:rPr>
        <w:t>生命科技</w:t>
      </w:r>
      <w:r>
        <w:rPr>
          <w:rFonts w:ascii="仿宋_GB2312" w:hAnsi="宋体" w:cstheme="minorBidi"/>
          <w:bCs/>
          <w:szCs w:val="32"/>
          <w:highlight w:val="none"/>
        </w:rPr>
        <w:t>创新项目</w:t>
      </w:r>
      <w:r>
        <w:rPr>
          <w:rFonts w:hint="eastAsia" w:ascii="仿宋_GB2312" w:hAnsi="宋体" w:cstheme="minorBidi"/>
          <w:bCs/>
          <w:szCs w:val="32"/>
          <w:highlight w:val="none"/>
        </w:rPr>
        <w:t>，</w:t>
      </w:r>
      <w:r>
        <w:rPr>
          <w:rFonts w:ascii="仿宋_GB2312" w:hAnsi="宋体" w:cstheme="minorBidi"/>
          <w:bCs/>
          <w:szCs w:val="32"/>
          <w:highlight w:val="none"/>
        </w:rPr>
        <w:t>报区</w:t>
      </w:r>
      <w:r>
        <w:rPr>
          <w:rFonts w:hint="eastAsia" w:ascii="仿宋_GB2312" w:hAnsi="宋体" w:cstheme="minorBidi"/>
          <w:bCs/>
          <w:szCs w:val="32"/>
          <w:highlight w:val="none"/>
        </w:rPr>
        <w:t>政府采用“一事一议”方式予以</w:t>
      </w:r>
      <w:r>
        <w:rPr>
          <w:rFonts w:ascii="仿宋_GB2312" w:hAnsi="宋体" w:cstheme="minorBidi"/>
          <w:bCs/>
          <w:szCs w:val="32"/>
          <w:highlight w:val="none"/>
        </w:rPr>
        <w:t>审定</w:t>
      </w:r>
      <w:r>
        <w:rPr>
          <w:rFonts w:hint="eastAsia" w:ascii="仿宋_GB2312" w:hAnsi="宋体" w:cstheme="minorBidi"/>
          <w:bCs/>
          <w:szCs w:val="32"/>
          <w:highlight w:val="none"/>
        </w:rPr>
        <w:t>支持。</w:t>
      </w:r>
    </w:p>
    <w:p>
      <w:pPr>
        <w:keepNext w:val="0"/>
        <w:keepLines w:val="0"/>
        <w:pageBreakBefore w:val="0"/>
        <w:widowControl w:val="0"/>
        <w:tabs>
          <w:tab w:val="left" w:pos="1230"/>
        </w:tabs>
        <w:wordWrap/>
        <w:topLinePunct w:val="0"/>
        <w:bidi w:val="0"/>
        <w:adjustRightInd w:val="0"/>
        <w:snapToGrid w:val="0"/>
        <w:spacing w:beforeAutospacing="0" w:afterAutospacing="0" w:line="560" w:lineRule="exact"/>
        <w:ind w:left="0" w:leftChars="0" w:firstLine="643" w:firstLineChars="200"/>
        <w:rPr>
          <w:rFonts w:ascii="仿宋_GB2312" w:hAnsi="Times New Roman" w:eastAsia="仿宋_GB2312"/>
          <w:bCs/>
          <w:kern w:val="44"/>
          <w:sz w:val="32"/>
          <w:szCs w:val="32"/>
          <w:highlight w:val="none"/>
        </w:rPr>
      </w:pPr>
      <w:r>
        <w:rPr>
          <w:rFonts w:hint="eastAsia" w:ascii="楷体_GB2312" w:hAnsi="楷体_GB2312" w:eastAsia="楷体_GB2312" w:cs="楷体_GB2312"/>
          <w:b/>
          <w:bCs w:val="0"/>
          <w:color w:val="auto"/>
          <w:kern w:val="2"/>
          <w:sz w:val="32"/>
          <w:szCs w:val="24"/>
          <w:highlight w:val="none"/>
          <w:lang w:bidi="ar"/>
        </w:rPr>
        <w:t xml:space="preserve">第十八条 </w:t>
      </w:r>
      <w:r>
        <w:rPr>
          <w:rFonts w:hint="eastAsia" w:ascii="黑体" w:hAnsi="黑体" w:eastAsia="黑体" w:cs="黑体"/>
          <w:bCs/>
          <w:kern w:val="44"/>
          <w:sz w:val="32"/>
          <w:szCs w:val="32"/>
          <w:highlight w:val="none"/>
          <w:lang w:val="en-US" w:eastAsia="zh-CN"/>
        </w:rPr>
        <w:t xml:space="preserve"> </w:t>
      </w:r>
      <w:r>
        <w:rPr>
          <w:rFonts w:hint="eastAsia" w:ascii="仿宋_GB2312" w:hAnsi="Times New Roman" w:eastAsia="仿宋_GB2312"/>
          <w:bCs/>
          <w:kern w:val="44"/>
          <w:sz w:val="32"/>
          <w:szCs w:val="32"/>
          <w:highlight w:val="none"/>
        </w:rPr>
        <w:t>本措施自发布之日起施行，</w:t>
      </w:r>
      <w:r>
        <w:rPr>
          <w:rFonts w:hint="default" w:ascii="仿宋_GB2312" w:hAnsi="Times New Roman" w:eastAsia="仿宋_GB2312"/>
          <w:bCs/>
          <w:kern w:val="44"/>
          <w:sz w:val="32"/>
          <w:szCs w:val="32"/>
          <w:highlight w:val="none"/>
        </w:rPr>
        <w:t>有效期</w:t>
      </w:r>
      <w:r>
        <w:rPr>
          <w:rFonts w:hint="eastAsia" w:ascii="仿宋_GB2312"/>
          <w:bCs/>
          <w:kern w:val="44"/>
          <w:sz w:val="32"/>
          <w:szCs w:val="32"/>
          <w:highlight w:val="none"/>
          <w:lang w:eastAsia="zh-CN"/>
        </w:rPr>
        <w:t>三</w:t>
      </w:r>
      <w:r>
        <w:rPr>
          <w:rFonts w:hint="default" w:ascii="仿宋_GB2312" w:hAnsi="Times New Roman" w:eastAsia="仿宋_GB2312"/>
          <w:bCs/>
          <w:kern w:val="44"/>
          <w:sz w:val="32"/>
          <w:szCs w:val="32"/>
          <w:highlight w:val="none"/>
        </w:rPr>
        <w:t>年</w:t>
      </w:r>
      <w:r>
        <w:rPr>
          <w:rFonts w:hint="eastAsia" w:ascii="仿宋_GB2312" w:hAnsi="Times New Roman" w:eastAsia="仿宋_GB2312"/>
          <w:bCs/>
          <w:kern w:val="44"/>
          <w:sz w:val="32"/>
          <w:szCs w:val="32"/>
          <w:highlight w:val="none"/>
        </w:rPr>
        <w:t>，由区科技创新局负责解释。本措施与我区其它同类</w:t>
      </w:r>
      <w:r>
        <w:rPr>
          <w:rFonts w:ascii="仿宋_GB2312" w:hAnsi="Times New Roman" w:eastAsia="仿宋_GB2312"/>
          <w:bCs/>
          <w:kern w:val="44"/>
          <w:sz w:val="32"/>
          <w:szCs w:val="32"/>
          <w:highlight w:val="none"/>
        </w:rPr>
        <w:t>扶持</w:t>
      </w:r>
      <w:r>
        <w:rPr>
          <w:rFonts w:hint="eastAsia" w:ascii="仿宋_GB2312" w:hAnsi="Times New Roman" w:eastAsia="仿宋_GB2312"/>
          <w:bCs/>
          <w:kern w:val="44"/>
          <w:sz w:val="32"/>
          <w:szCs w:val="32"/>
          <w:highlight w:val="none"/>
        </w:rPr>
        <w:t>措施，由企业按照就高不就低的原则选择适用，不重复资助，所需资金从科技创新资金中列支。执行期间如遇国家、省、市有关政策调整的，根据新政策做相应调整。</w:t>
      </w:r>
      <w:r>
        <w:rPr>
          <w:rFonts w:hint="eastAsia" w:ascii="仿宋_GB2312" w:hAnsi="仿宋_GB2312"/>
          <w:color w:val="000000"/>
          <w:szCs w:val="32"/>
          <w:highlight w:val="none"/>
        </w:rPr>
        <w:t>《</w:t>
      </w:r>
      <w:r>
        <w:rPr>
          <w:rFonts w:hint="eastAsia" w:ascii="仿宋_GB2312" w:hAnsi="仿宋_GB2312"/>
          <w:color w:val="000000"/>
          <w:szCs w:val="32"/>
          <w:highlight w:val="none"/>
          <w:lang w:val="en-US" w:eastAsia="zh-CN"/>
        </w:rPr>
        <w:t>南山区促进生物医药产业领航发展的若干措施</w:t>
      </w:r>
      <w:r>
        <w:rPr>
          <w:rFonts w:hint="eastAsia" w:ascii="仿宋_GB2312" w:hAnsi="仿宋_GB2312"/>
          <w:color w:val="000000"/>
          <w:szCs w:val="32"/>
          <w:highlight w:val="none"/>
        </w:rPr>
        <w:t>》（深南府规〔20</w:t>
      </w:r>
      <w:r>
        <w:rPr>
          <w:rFonts w:hint="default" w:ascii="仿宋_GB2312" w:hAnsi="仿宋_GB2312"/>
          <w:color w:val="000000"/>
          <w:szCs w:val="32"/>
          <w:highlight w:val="none"/>
        </w:rPr>
        <w:t>21</w:t>
      </w:r>
      <w:r>
        <w:rPr>
          <w:rFonts w:hint="eastAsia" w:ascii="仿宋_GB2312" w:hAnsi="仿宋_GB2312"/>
          <w:color w:val="000000"/>
          <w:szCs w:val="32"/>
          <w:highlight w:val="none"/>
        </w:rPr>
        <w:t>〕</w:t>
      </w:r>
      <w:r>
        <w:rPr>
          <w:rFonts w:hint="default" w:ascii="仿宋_GB2312" w:hAnsi="仿宋_GB2312"/>
          <w:color w:val="000000"/>
          <w:szCs w:val="32"/>
          <w:highlight w:val="none"/>
        </w:rPr>
        <w:t>3</w:t>
      </w:r>
      <w:r>
        <w:rPr>
          <w:rFonts w:hint="eastAsia" w:ascii="仿宋_GB2312" w:hAnsi="仿宋_GB2312"/>
          <w:color w:val="000000"/>
          <w:szCs w:val="32"/>
          <w:highlight w:val="none"/>
        </w:rPr>
        <w:t>号）同时废止。</w:t>
      </w:r>
    </w:p>
    <w:p>
      <w:pPr>
        <w:keepNext w:val="0"/>
        <w:keepLines w:val="0"/>
        <w:pageBreakBefore w:val="0"/>
        <w:widowControl w:val="0"/>
        <w:wordWrap/>
        <w:topLinePunct w:val="0"/>
        <w:bidi w:val="0"/>
        <w:spacing w:beforeAutospacing="0" w:afterAutospacing="0" w:line="560" w:lineRule="exact"/>
        <w:ind w:left="0" w:leftChars="0" w:firstLine="643" w:firstLineChars="200"/>
        <w:rPr>
          <w:rFonts w:ascii="仿宋_GB2312" w:hAnsi="仿宋_GB2312"/>
          <w:color w:val="000000"/>
          <w:szCs w:val="32"/>
          <w:highlight w:val="none"/>
        </w:rPr>
      </w:pPr>
      <w:r>
        <w:rPr>
          <w:rFonts w:hint="eastAsia" w:ascii="楷体_GB2312" w:hAnsi="楷体_GB2312" w:eastAsia="楷体_GB2312" w:cs="楷体_GB2312"/>
          <w:b/>
          <w:color w:val="auto"/>
          <w:szCs w:val="24"/>
          <w:highlight w:val="none"/>
          <w:lang w:bidi="ar"/>
        </w:rPr>
        <w:t xml:space="preserve">第十九条  </w:t>
      </w:r>
      <w:r>
        <w:rPr>
          <w:rFonts w:hint="eastAsia" w:ascii="仿宋_GB2312"/>
          <w:color w:val="000000"/>
          <w:szCs w:val="32"/>
          <w:highlight w:val="none"/>
        </w:rPr>
        <w:t>本措施由区科技创新局负责解释，</w:t>
      </w:r>
      <w:r>
        <w:rPr>
          <w:rFonts w:hint="eastAsia" w:ascii="仿宋_GB2312" w:hAnsi="仿宋_GB2312"/>
          <w:color w:val="000000"/>
          <w:szCs w:val="32"/>
          <w:highlight w:val="none"/>
        </w:rPr>
        <w:t>制定与</w:t>
      </w:r>
      <w:r>
        <w:rPr>
          <w:rFonts w:hint="eastAsia" w:ascii="仿宋_GB2312"/>
          <w:color w:val="000000"/>
          <w:szCs w:val="32"/>
          <w:highlight w:val="none"/>
        </w:rPr>
        <w:t>本措施</w:t>
      </w:r>
      <w:r>
        <w:rPr>
          <w:rFonts w:hint="eastAsia" w:ascii="仿宋_GB2312" w:hAnsi="仿宋_GB2312"/>
          <w:color w:val="000000"/>
          <w:szCs w:val="32"/>
          <w:highlight w:val="none"/>
        </w:rPr>
        <w:t>相关的操作规程。</w:t>
      </w:r>
    </w:p>
    <w:p>
      <w:pPr>
        <w:pStyle w:val="2"/>
        <w:keepNext w:val="0"/>
        <w:keepLines w:val="0"/>
        <w:pageBreakBefore w:val="0"/>
        <w:widowControl w:val="0"/>
        <w:wordWrap/>
        <w:topLinePunct w:val="0"/>
        <w:bidi w:val="0"/>
        <w:spacing w:before="0" w:beforeLines="0" w:beforeAutospacing="0" w:after="0" w:afterLines="0" w:afterAutospacing="0" w:line="560" w:lineRule="exact"/>
        <w:ind w:left="0" w:leftChars="0"/>
        <w:rPr>
          <w:rFonts w:hint="default"/>
        </w:rPr>
      </w:pPr>
    </w:p>
    <w:p>
      <w:pPr>
        <w:keepNext w:val="0"/>
        <w:keepLines w:val="0"/>
        <w:pageBreakBefore w:val="0"/>
        <w:widowControl w:val="0"/>
        <w:wordWrap/>
        <w:topLinePunct w:val="0"/>
        <w:bidi w:val="0"/>
        <w:spacing w:beforeAutospacing="0" w:afterAutospacing="0" w:line="560" w:lineRule="exact"/>
        <w:ind w:left="0" w:leftChars="0"/>
        <w:rPr>
          <w:rFonts w:hint="default"/>
        </w:rPr>
      </w:pPr>
    </w:p>
    <w:p>
      <w:pPr>
        <w:pStyle w:val="12"/>
        <w:keepNext w:val="0"/>
        <w:keepLines w:val="0"/>
        <w:pageBreakBefore w:val="0"/>
        <w:widowControl w:val="0"/>
        <w:wordWrap/>
        <w:topLinePunct w:val="0"/>
        <w:bidi w:val="0"/>
        <w:spacing w:beforeAutospacing="0" w:after="0" w:afterAutospacing="0" w:line="560" w:lineRule="exact"/>
        <w:ind w:left="0" w:leftChars="0" w:firstLine="0" w:firstLineChars="0"/>
        <w:rPr>
          <w:rFonts w:hint="default"/>
        </w:rPr>
      </w:pPr>
    </w:p>
    <w:p>
      <w:pPr>
        <w:pStyle w:val="12"/>
        <w:keepNext w:val="0"/>
        <w:keepLines w:val="0"/>
        <w:pageBreakBefore w:val="0"/>
        <w:widowControl w:val="0"/>
        <w:wordWrap/>
        <w:topLinePunct w:val="0"/>
        <w:bidi w:val="0"/>
        <w:spacing w:beforeAutospacing="0" w:after="0" w:afterAutospacing="0" w:line="560" w:lineRule="exact"/>
        <w:ind w:left="0" w:leftChars="0"/>
        <w:rPr>
          <w:rFonts w:hint="default"/>
        </w:rPr>
      </w:pPr>
    </w:p>
    <w:p>
      <w:pPr>
        <w:rPr>
          <w:rFonts w:hint="eastAsia" w:ascii="方正小标宋_GBK" w:hAnsi="方正小标宋_GBK" w:eastAsia="方正小标宋_GBK" w:cs="方正小标宋_GBK"/>
          <w:b w:val="0"/>
          <w:bCs w:val="0"/>
          <w:color w:val="000000"/>
          <w:kern w:val="2"/>
          <w:sz w:val="44"/>
          <w:szCs w:val="44"/>
          <w:highlight w:val="none"/>
        </w:rPr>
      </w:pPr>
      <w:r>
        <w:rPr>
          <w:rFonts w:hint="eastAsia" w:ascii="方正小标宋_GBK" w:hAnsi="方正小标宋_GBK" w:eastAsia="方正小标宋_GBK" w:cs="方正小标宋_GBK"/>
          <w:b w:val="0"/>
          <w:bCs w:val="0"/>
          <w:color w:val="000000"/>
          <w:kern w:val="2"/>
          <w:sz w:val="44"/>
          <w:szCs w:val="44"/>
          <w:highlight w:val="none"/>
        </w:rPr>
        <w:br w:type="page"/>
      </w:r>
    </w:p>
    <w:p>
      <w:pPr>
        <w:pStyle w:val="2"/>
        <w:keepNext w:val="0"/>
        <w:keepLines w:val="0"/>
        <w:pageBreakBefore w:val="0"/>
        <w:widowControl w:val="0"/>
        <w:kinsoku/>
        <w:wordWrap/>
        <w:overflowPunct/>
        <w:topLinePunct w:val="0"/>
        <w:autoSpaceDE/>
        <w:autoSpaceDN/>
        <w:bidi w:val="0"/>
        <w:snapToGrid/>
        <w:spacing w:before="0" w:beforeLines="0" w:beforeAutospacing="0" w:after="0" w:afterLines="0" w:afterAutospacing="0" w:line="560" w:lineRule="exact"/>
        <w:ind w:left="0" w:leftChars="0" w:firstLine="0" w:firstLineChars="0"/>
        <w:jc w:val="center"/>
        <w:textAlignment w:val="auto"/>
        <w:rPr>
          <w:rFonts w:hint="eastAsia" w:ascii="方正小标宋_GBK" w:hAnsi="方正小标宋_GBK" w:eastAsia="方正小标宋_GBK" w:cs="方正小标宋_GBK"/>
          <w:b w:val="0"/>
          <w:bCs w:val="0"/>
          <w:color w:val="000000"/>
          <w:kern w:val="2"/>
          <w:sz w:val="44"/>
          <w:szCs w:val="44"/>
          <w:highlight w:val="none"/>
        </w:rPr>
      </w:pPr>
      <w:r>
        <w:rPr>
          <w:rFonts w:hint="eastAsia" w:ascii="方正小标宋_GBK" w:hAnsi="方正小标宋_GBK" w:eastAsia="方正小标宋_GBK" w:cs="方正小标宋_GBK"/>
          <w:b w:val="0"/>
          <w:bCs w:val="0"/>
          <w:color w:val="000000"/>
          <w:kern w:val="2"/>
          <w:sz w:val="44"/>
          <w:szCs w:val="44"/>
          <w:highlight w:val="none"/>
        </w:rPr>
        <w:t>南山区促进集成电路产业高质量发展</w:t>
      </w:r>
    </w:p>
    <w:p>
      <w:pPr>
        <w:pStyle w:val="2"/>
        <w:keepNext w:val="0"/>
        <w:keepLines w:val="0"/>
        <w:pageBreakBefore w:val="0"/>
        <w:widowControl w:val="0"/>
        <w:kinsoku/>
        <w:wordWrap/>
        <w:overflowPunct/>
        <w:topLinePunct w:val="0"/>
        <w:autoSpaceDE/>
        <w:autoSpaceDN/>
        <w:bidi w:val="0"/>
        <w:snapToGrid/>
        <w:spacing w:before="0" w:beforeLines="0" w:beforeAutospacing="0" w:after="0" w:afterLines="0" w:afterAutospacing="0" w:line="560" w:lineRule="exact"/>
        <w:ind w:left="0" w:leftChars="0" w:firstLine="0" w:firstLineChars="0"/>
        <w:jc w:val="center"/>
        <w:textAlignment w:val="auto"/>
        <w:rPr>
          <w:rFonts w:hint="eastAsia" w:ascii="方正小标宋_GBK" w:hAnsi="方正小标宋_GBK" w:eastAsia="方正小标宋_GBK" w:cs="方正小标宋_GBK"/>
          <w:b w:val="0"/>
          <w:bCs w:val="0"/>
          <w:color w:val="000000"/>
          <w:kern w:val="2"/>
          <w:sz w:val="44"/>
          <w:szCs w:val="44"/>
          <w:highlight w:val="none"/>
        </w:rPr>
      </w:pPr>
      <w:r>
        <w:rPr>
          <w:rFonts w:hint="eastAsia" w:ascii="方正小标宋_GBK" w:hAnsi="方正小标宋_GBK" w:eastAsia="方正小标宋_GBK" w:cs="方正小标宋_GBK"/>
          <w:b w:val="0"/>
          <w:bCs w:val="0"/>
          <w:color w:val="000000"/>
          <w:kern w:val="2"/>
          <w:sz w:val="44"/>
          <w:szCs w:val="44"/>
          <w:highlight w:val="none"/>
          <w:lang w:eastAsia="zh-CN"/>
        </w:rPr>
        <w:t>专项扶持</w:t>
      </w:r>
      <w:r>
        <w:rPr>
          <w:rFonts w:hint="eastAsia" w:ascii="方正小标宋_GBK" w:hAnsi="方正小标宋_GBK" w:eastAsia="方正小标宋_GBK" w:cs="方正小标宋_GBK"/>
          <w:b w:val="0"/>
          <w:bCs w:val="0"/>
          <w:color w:val="000000"/>
          <w:kern w:val="2"/>
          <w:sz w:val="44"/>
          <w:szCs w:val="44"/>
          <w:highlight w:val="none"/>
        </w:rPr>
        <w:t>措施</w:t>
      </w:r>
    </w:p>
    <w:p>
      <w:pPr>
        <w:keepNext w:val="0"/>
        <w:keepLines w:val="0"/>
        <w:pageBreakBefore w:val="0"/>
        <w:widowControl w:val="0"/>
        <w:wordWrap/>
        <w:topLinePunct w:val="0"/>
        <w:bidi w:val="0"/>
        <w:spacing w:beforeAutospacing="0" w:afterAutospacing="0" w:line="560" w:lineRule="exact"/>
        <w:ind w:left="0" w:leftChars="0"/>
        <w:jc w:val="center"/>
        <w:rPr>
          <w:rFonts w:ascii="宋体" w:hAnsi="宋体" w:eastAsia="宋体" w:cs="宋体"/>
          <w:b/>
          <w:bCs/>
          <w:sz w:val="36"/>
          <w:szCs w:val="36"/>
          <w:highlight w:val="none"/>
        </w:rPr>
      </w:pPr>
      <w:r>
        <w:rPr>
          <w:rFonts w:hint="eastAsia" w:ascii="宋体" w:hAnsi="宋体" w:eastAsia="宋体" w:cs="宋体"/>
          <w:b/>
          <w:bCs/>
          <w:sz w:val="36"/>
          <w:szCs w:val="36"/>
          <w:highlight w:val="none"/>
        </w:rPr>
        <w:t>（征求意见稿）</w:t>
      </w:r>
    </w:p>
    <w:p>
      <w:pPr>
        <w:keepNext w:val="0"/>
        <w:keepLines w:val="0"/>
        <w:pageBreakBefore w:val="0"/>
        <w:widowControl w:val="0"/>
        <w:kinsoku/>
        <w:wordWrap/>
        <w:overflowPunct/>
        <w:topLinePunct w:val="0"/>
        <w:autoSpaceDE/>
        <w:autoSpaceDN/>
        <w:bidi w:val="0"/>
        <w:snapToGrid/>
        <w:spacing w:beforeAutospacing="0" w:afterAutospacing="0" w:line="560" w:lineRule="exact"/>
        <w:ind w:left="0" w:leftChars="0" w:firstLine="640" w:firstLineChars="200"/>
        <w:jc w:val="both"/>
        <w:textAlignment w:val="auto"/>
        <w:rPr>
          <w:rFonts w:ascii="仿宋" w:hAnsi="仿宋" w:eastAsia="仿宋" w:cs="仿宋"/>
          <w:szCs w:val="32"/>
          <w:highlight w:val="none"/>
        </w:rPr>
      </w:pPr>
    </w:p>
    <w:p>
      <w:pPr>
        <w:keepNext w:val="0"/>
        <w:keepLines w:val="0"/>
        <w:pageBreakBefore w:val="0"/>
        <w:widowControl w:val="0"/>
        <w:wordWrap/>
        <w:topLinePunct w:val="0"/>
        <w:bidi w:val="0"/>
        <w:spacing w:beforeAutospacing="0" w:afterAutospacing="0" w:line="560" w:lineRule="exact"/>
        <w:ind w:left="0" w:leftChars="0" w:firstLine="643" w:firstLineChars="200"/>
        <w:rPr>
          <w:rFonts w:hint="eastAsia" w:ascii="黑体" w:hAnsi="黑体" w:eastAsia="黑体"/>
          <w:color w:val="000000"/>
          <w:szCs w:val="32"/>
          <w:highlight w:val="none"/>
        </w:rPr>
      </w:pPr>
      <w:r>
        <w:rPr>
          <w:rFonts w:hint="eastAsia" w:ascii="楷体_GB2312" w:hAnsi="楷体_GB2312" w:eastAsia="楷体_GB2312" w:cs="楷体_GB2312"/>
          <w:b/>
          <w:bCs w:val="0"/>
          <w:color w:val="auto"/>
          <w:sz w:val="32"/>
          <w:szCs w:val="24"/>
          <w:highlight w:val="none"/>
          <w:lang w:bidi="ar"/>
        </w:rPr>
        <w:t>第一条</w:t>
      </w:r>
      <w:r>
        <w:rPr>
          <w:rFonts w:hint="eastAsia" w:ascii="楷体_GB2312" w:hAnsi="楷体_GB2312" w:eastAsia="楷体_GB2312" w:cs="楷体_GB2312"/>
          <w:b/>
          <w:color w:val="auto"/>
          <w:sz w:val="32"/>
          <w:szCs w:val="24"/>
          <w:highlight w:val="none"/>
          <w:lang w:bidi="ar"/>
        </w:rPr>
        <w:t xml:space="preserve"> </w:t>
      </w:r>
      <w:r>
        <w:rPr>
          <w:rFonts w:hint="eastAsia" w:ascii="仿宋_GB2312" w:hAnsi="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为深入实施创新驱动发展战略，聚焦落实粤港澳大湾区和深圳先行示范区“双区驱动”战略，落实国家、省、市关于集成电路产业发展的战略部署，促进南山区集成电路产业高质量发展，根据《国家集成电路产业发展推进纲要》、《关于加快集成电路产业发展的若干措施》和《深圳市进一步推动集成电路产业发展行动计划（2019－2023年）》等有关规定，制定</w:t>
      </w:r>
      <w:r>
        <w:rPr>
          <w:rFonts w:hint="default" w:ascii="仿宋_GB2312" w:hAnsi="仿宋_GB2312" w:eastAsia="仿宋_GB2312" w:cs="仿宋_GB2312"/>
          <w:sz w:val="32"/>
          <w:szCs w:val="32"/>
          <w:highlight w:val="none"/>
        </w:rPr>
        <w:t>本</w:t>
      </w:r>
      <w:r>
        <w:rPr>
          <w:rFonts w:hint="eastAsia" w:ascii="仿宋_GB2312" w:hAnsi="仿宋_GB2312" w:eastAsia="仿宋_GB2312" w:cs="仿宋_GB2312"/>
          <w:sz w:val="32"/>
          <w:szCs w:val="32"/>
          <w:highlight w:val="none"/>
        </w:rPr>
        <w:t>措施。</w:t>
      </w:r>
    </w:p>
    <w:p>
      <w:pPr>
        <w:keepNext w:val="0"/>
        <w:keepLines w:val="0"/>
        <w:pageBreakBefore w:val="0"/>
        <w:widowControl w:val="0"/>
        <w:wordWrap/>
        <w:topLinePunct w:val="0"/>
        <w:bidi w:val="0"/>
        <w:spacing w:beforeAutospacing="0" w:afterAutospacing="0" w:line="560" w:lineRule="exact"/>
        <w:ind w:left="0" w:leftChars="0" w:firstLine="643" w:firstLineChars="200"/>
        <w:rPr>
          <w:rFonts w:hint="eastAsia" w:ascii="黑体" w:hAnsi="黑体" w:eastAsia="黑体" w:cs="黑体"/>
          <w:b w:val="0"/>
          <w:bCs w:val="0"/>
          <w:sz w:val="32"/>
          <w:szCs w:val="32"/>
          <w:highlight w:val="none"/>
        </w:rPr>
      </w:pPr>
      <w:r>
        <w:rPr>
          <w:rFonts w:hint="eastAsia" w:ascii="楷体_GB2312" w:hAnsi="楷体_GB2312" w:eastAsia="楷体_GB2312" w:cs="楷体_GB2312"/>
          <w:b/>
          <w:color w:val="auto"/>
          <w:szCs w:val="24"/>
          <w:highlight w:val="none"/>
          <w:lang w:bidi="ar"/>
        </w:rPr>
        <w:t xml:space="preserve">第二条 </w:t>
      </w:r>
      <w:r>
        <w:rPr>
          <w:rFonts w:hint="eastAsia" w:ascii="黑体" w:hAnsi="黑体" w:eastAsia="黑体"/>
          <w:color w:val="000000"/>
          <w:szCs w:val="32"/>
          <w:highlight w:val="none"/>
          <w:lang w:val="en-US" w:eastAsia="zh-CN"/>
        </w:rPr>
        <w:t xml:space="preserve"> </w:t>
      </w:r>
      <w:r>
        <w:rPr>
          <w:rFonts w:hint="eastAsia" w:ascii="仿宋_GB2312" w:hAnsi="仿宋_GB2312" w:eastAsia="仿宋_GB2312" w:cs="仿宋_GB2312"/>
          <w:color w:val="000000"/>
          <w:szCs w:val="32"/>
          <w:highlight w:val="none"/>
        </w:rPr>
        <w:t>区科技创新局为本措施的主管部门，区自主创新产业发展专项资金领导小组、科技创新分项资金审批专责小组为本措施的决策审批机构。</w:t>
      </w:r>
    </w:p>
    <w:p>
      <w:pPr>
        <w:keepNext w:val="0"/>
        <w:keepLines w:val="0"/>
        <w:pageBreakBefore w:val="0"/>
        <w:widowControl w:val="0"/>
        <w:wordWrap/>
        <w:topLinePunct w:val="0"/>
        <w:bidi w:val="0"/>
        <w:spacing w:beforeAutospacing="0" w:afterAutospacing="0" w:line="560" w:lineRule="exact"/>
        <w:ind w:left="0" w:leftChars="0" w:firstLine="643" w:firstLineChars="200"/>
        <w:rPr>
          <w:rFonts w:hint="eastAsia" w:ascii="黑体" w:hAnsi="黑体" w:eastAsia="黑体" w:cs="黑体"/>
          <w:sz w:val="32"/>
          <w:szCs w:val="32"/>
          <w:highlight w:val="none"/>
        </w:rPr>
      </w:pPr>
      <w:r>
        <w:rPr>
          <w:rFonts w:hint="eastAsia" w:ascii="楷体_GB2312" w:hAnsi="楷体_GB2312" w:eastAsia="楷体_GB2312" w:cs="楷体_GB2312"/>
          <w:b/>
          <w:bCs w:val="0"/>
          <w:color w:val="auto"/>
          <w:sz w:val="32"/>
          <w:szCs w:val="24"/>
          <w:highlight w:val="none"/>
          <w:lang w:bidi="ar"/>
        </w:rPr>
        <w:t>第三条</w:t>
      </w:r>
      <w:r>
        <w:rPr>
          <w:rFonts w:hint="eastAsia" w:ascii="楷体_GB2312" w:hAnsi="楷体_GB2312" w:eastAsia="楷体_GB2312" w:cs="楷体_GB2312"/>
          <w:b/>
          <w:color w:val="auto"/>
          <w:sz w:val="32"/>
          <w:szCs w:val="24"/>
          <w:highlight w:val="none"/>
          <w:lang w:bidi="ar"/>
        </w:rPr>
        <w:t xml:space="preserve"> </w:t>
      </w:r>
      <w:r>
        <w:rPr>
          <w:rFonts w:hint="eastAsia" w:ascii="楷体_GB2312" w:hAnsi="楷体_GB2312" w:eastAsia="楷体_GB2312" w:cs="楷体_GB2312"/>
          <w:b/>
          <w:color w:val="auto"/>
          <w:sz w:val="32"/>
          <w:szCs w:val="24"/>
          <w:highlight w:val="none"/>
          <w:lang w:val="en-US" w:eastAsia="zh-CN" w:bidi="ar"/>
        </w:rPr>
        <w:t xml:space="preserve"> </w:t>
      </w:r>
      <w:r>
        <w:rPr>
          <w:rFonts w:hint="eastAsia" w:ascii="仿宋_GB2312" w:hAnsi="仿宋_GB2312" w:eastAsia="仿宋_GB2312" w:cs="仿宋_GB2312"/>
          <w:sz w:val="32"/>
          <w:szCs w:val="32"/>
          <w:highlight w:val="none"/>
        </w:rPr>
        <w:t>本措施适用于注册登记、税务关系</w:t>
      </w:r>
      <w:r>
        <w:rPr>
          <w:rFonts w:hint="eastAsia" w:ascii="仿宋_GB2312" w:hAnsi="仿宋_GB2312" w:eastAsia="仿宋_GB2312" w:cs="仿宋_GB2312"/>
          <w:color w:val="000000"/>
          <w:szCs w:val="32"/>
          <w:highlight w:val="none"/>
          <w:lang w:eastAsia="zh-CN"/>
        </w:rPr>
        <w:t>及统计关系</w:t>
      </w:r>
      <w:r>
        <w:rPr>
          <w:rFonts w:hint="eastAsia" w:ascii="仿宋_GB2312" w:hAnsi="仿宋_GB2312" w:eastAsia="仿宋_GB2312" w:cs="仿宋_GB2312"/>
          <w:sz w:val="32"/>
          <w:szCs w:val="32"/>
          <w:highlight w:val="none"/>
        </w:rPr>
        <w:t>在南山区，</w:t>
      </w:r>
      <w:r>
        <w:rPr>
          <w:rFonts w:hint="default" w:ascii="仿宋_GB2312" w:hAnsi="仿宋_GB2312" w:eastAsia="仿宋_GB2312" w:cs="仿宋_GB2312"/>
          <w:sz w:val="32"/>
          <w:szCs w:val="32"/>
          <w:highlight w:val="none"/>
        </w:rPr>
        <w:t>且</w:t>
      </w:r>
      <w:r>
        <w:rPr>
          <w:rFonts w:hint="eastAsia" w:ascii="仿宋_GB2312" w:hAnsi="仿宋_GB2312" w:eastAsia="仿宋_GB2312" w:cs="仿宋_GB2312"/>
          <w:sz w:val="32"/>
          <w:szCs w:val="32"/>
          <w:highlight w:val="none"/>
        </w:rPr>
        <w:t>具备独立法人资格的集成电路类企业、机构（以下合称企业）；</w:t>
      </w:r>
      <w:r>
        <w:rPr>
          <w:rFonts w:hint="default" w:ascii="仿宋_GB2312" w:hAnsi="仿宋_GB2312" w:eastAsia="仿宋_GB2312" w:cs="仿宋_GB2312"/>
          <w:sz w:val="32"/>
          <w:szCs w:val="32"/>
          <w:highlight w:val="none"/>
        </w:rPr>
        <w:t>注册登记在南山区且按国家统计局相关规定可视同法人单位的主体。</w:t>
      </w:r>
    </w:p>
    <w:p>
      <w:pPr>
        <w:keepNext w:val="0"/>
        <w:keepLines w:val="0"/>
        <w:pageBreakBefore w:val="0"/>
        <w:widowControl w:val="0"/>
        <w:wordWrap/>
        <w:topLinePunct w:val="0"/>
        <w:bidi w:val="0"/>
        <w:spacing w:beforeAutospacing="0" w:afterAutospacing="0" w:line="560" w:lineRule="exact"/>
        <w:ind w:left="0" w:leftChars="0" w:firstLine="643" w:firstLineChars="200"/>
        <w:rPr>
          <w:rFonts w:hint="default" w:ascii="仿宋_GB2312" w:hAnsi="仿宋_GB2312" w:eastAsia="仿宋_GB2312" w:cs="仿宋_GB2312"/>
          <w:sz w:val="32"/>
          <w:szCs w:val="32"/>
          <w:highlight w:val="none"/>
        </w:rPr>
      </w:pPr>
      <w:r>
        <w:rPr>
          <w:rFonts w:hint="eastAsia" w:ascii="楷体_GB2312" w:hAnsi="楷体_GB2312" w:eastAsia="楷体_GB2312" w:cs="楷体_GB2312"/>
          <w:b/>
          <w:color w:val="auto"/>
          <w:sz w:val="32"/>
          <w:szCs w:val="24"/>
          <w:highlight w:val="none"/>
          <w:lang w:bidi="ar"/>
        </w:rPr>
        <w:t>第四条</w:t>
      </w:r>
      <w:r>
        <w:rPr>
          <w:rFonts w:hint="eastAsia" w:ascii="黑体" w:hAnsi="黑体" w:eastAsia="黑体" w:cs="黑体"/>
          <w:sz w:val="32"/>
          <w:szCs w:val="32"/>
          <w:highlight w:val="none"/>
        </w:rPr>
        <w:t xml:space="preserve"> </w:t>
      </w:r>
      <w:r>
        <w:rPr>
          <w:rFonts w:hint="eastAsia" w:ascii="黑体" w:hAnsi="黑体" w:eastAsia="黑体" w:cs="黑体"/>
          <w:sz w:val="32"/>
          <w:szCs w:val="32"/>
          <w:highlight w:val="none"/>
          <w:lang w:val="en-US" w:eastAsia="zh-CN"/>
        </w:rPr>
        <w:t xml:space="preserve"> </w:t>
      </w:r>
      <w:r>
        <w:rPr>
          <w:rFonts w:hint="eastAsia" w:ascii="仿宋_GB2312" w:hAnsi="黑体"/>
          <w:color w:val="000000"/>
          <w:szCs w:val="32"/>
          <w:highlight w:val="none"/>
        </w:rPr>
        <w:t>本措施申报主体原则上应符合《南山区自主创新产业发展专项资</w:t>
      </w:r>
      <w:r>
        <w:rPr>
          <w:rFonts w:hint="eastAsia" w:ascii="仿宋_GB2312" w:hAnsi="仿宋_GB2312" w:eastAsia="仿宋_GB2312" w:cs="仿宋_GB2312"/>
          <w:sz w:val="32"/>
          <w:szCs w:val="32"/>
          <w:highlight w:val="none"/>
        </w:rPr>
        <w:t>金管理办法》及本措施规定的</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注册地</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税务关系</w:t>
      </w:r>
      <w:r>
        <w:rPr>
          <w:rFonts w:hint="eastAsia" w:ascii="仿宋_GB2312" w:hAnsi="仿宋_GB2312" w:eastAsia="仿宋_GB2312" w:cs="仿宋_GB2312"/>
          <w:sz w:val="32"/>
          <w:szCs w:val="32"/>
          <w:highlight w:val="none"/>
          <w:lang w:eastAsia="zh-CN"/>
        </w:rPr>
        <w:t>”“统计关系”“</w:t>
      </w:r>
      <w:r>
        <w:rPr>
          <w:rFonts w:hint="eastAsia" w:ascii="仿宋_GB2312" w:hAnsi="仿宋_GB2312" w:eastAsia="仿宋_GB2312" w:cs="仿宋_GB2312"/>
          <w:sz w:val="32"/>
          <w:szCs w:val="32"/>
          <w:highlight w:val="none"/>
        </w:rPr>
        <w:t>独立法人</w:t>
      </w:r>
      <w:r>
        <w:rPr>
          <w:rFonts w:hint="eastAsia" w:ascii="仿宋_GB2312" w:hAnsi="仿宋_GB2312" w:eastAsia="仿宋_GB2312" w:cs="仿宋_GB2312"/>
          <w:sz w:val="32"/>
          <w:szCs w:val="32"/>
          <w:highlight w:val="none"/>
          <w:lang w:eastAsia="zh-CN"/>
        </w:rPr>
        <w:t>”“每家单位</w:t>
      </w:r>
      <w:r>
        <w:rPr>
          <w:rFonts w:hint="eastAsia" w:ascii="仿宋_GB2312" w:hAnsi="仿宋_GB2312" w:eastAsia="仿宋_GB2312" w:cs="仿宋_GB2312"/>
          <w:sz w:val="32"/>
          <w:szCs w:val="32"/>
          <w:highlight w:val="none"/>
        </w:rPr>
        <w:t>单个扶持项目资助金额原则上不得超过1000万元</w:t>
      </w:r>
      <w:r>
        <w:rPr>
          <w:rFonts w:hint="eastAsia" w:ascii="仿宋_GB2312" w:hAnsi="仿宋_GB2312" w:eastAsia="仿宋_GB2312" w:cs="仿宋_GB2312"/>
          <w:sz w:val="32"/>
          <w:szCs w:val="32"/>
          <w:highlight w:val="none"/>
          <w:lang w:eastAsia="zh-CN"/>
        </w:rPr>
        <w:t>”“区级</w:t>
      </w:r>
      <w:r>
        <w:rPr>
          <w:rFonts w:hint="eastAsia" w:ascii="仿宋_GB2312" w:hAnsi="仿宋_GB2312" w:eastAsia="仿宋_GB2312" w:cs="仿宋_GB2312"/>
          <w:sz w:val="32"/>
          <w:szCs w:val="32"/>
          <w:highlight w:val="none"/>
        </w:rPr>
        <w:t>地方财力贡献</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等相关条件，以下情形除外：</w:t>
      </w:r>
    </w:p>
    <w:p>
      <w:pPr>
        <w:keepNext w:val="0"/>
        <w:keepLines w:val="0"/>
        <w:pageBreakBefore w:val="0"/>
        <w:widowControl w:val="0"/>
        <w:wordWrap/>
        <w:topLinePunct w:val="0"/>
        <w:bidi w:val="0"/>
        <w:spacing w:beforeAutospacing="0" w:afterAutospacing="0" w:line="560" w:lineRule="exact"/>
        <w:ind w:left="0" w:leftChars="0"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（一）按国家统计局相关规定可视同法人单位的主体可不受《南山区自主创新产业发展专项资金管理办法》</w:t>
      </w:r>
      <w:r>
        <w:rPr>
          <w:rFonts w:hint="eastAsia" w:ascii="仿宋_GB2312" w:hAnsi="仿宋_GB2312" w:eastAsia="仿宋_GB2312" w:cs="仿宋_GB2312"/>
          <w:sz w:val="32"/>
          <w:szCs w:val="32"/>
          <w:highlight w:val="none"/>
          <w:lang w:eastAsia="zh-CN"/>
        </w:rPr>
        <w:t>规定的“</w:t>
      </w:r>
      <w:r>
        <w:rPr>
          <w:rFonts w:hint="eastAsia" w:ascii="仿宋_GB2312" w:hAnsi="仿宋_GB2312" w:eastAsia="仿宋_GB2312" w:cs="仿宋_GB2312"/>
          <w:sz w:val="32"/>
          <w:szCs w:val="32"/>
          <w:highlight w:val="none"/>
        </w:rPr>
        <w:t>税务关系</w:t>
      </w:r>
      <w:r>
        <w:rPr>
          <w:rFonts w:hint="eastAsia" w:ascii="仿宋_GB2312" w:hAnsi="仿宋_GB2312" w:eastAsia="仿宋_GB2312" w:cs="仿宋_GB2312"/>
          <w:sz w:val="32"/>
          <w:szCs w:val="32"/>
          <w:highlight w:val="none"/>
          <w:lang w:eastAsia="zh-CN"/>
        </w:rPr>
        <w:t>”“统计关系”“</w:t>
      </w:r>
      <w:r>
        <w:rPr>
          <w:rFonts w:hint="eastAsia" w:ascii="仿宋_GB2312" w:hAnsi="仿宋_GB2312" w:eastAsia="仿宋_GB2312" w:cs="仿宋_GB2312"/>
          <w:sz w:val="32"/>
          <w:szCs w:val="32"/>
          <w:highlight w:val="none"/>
        </w:rPr>
        <w:t>独立法人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资格条件限制。</w:t>
      </w:r>
    </w:p>
    <w:p>
      <w:pPr>
        <w:keepNext w:val="0"/>
        <w:keepLines w:val="0"/>
        <w:pageBreakBefore w:val="0"/>
        <w:widowControl w:val="0"/>
        <w:wordWrap/>
        <w:topLinePunct w:val="0"/>
        <w:bidi w:val="0"/>
        <w:spacing w:beforeAutospacing="0" w:afterAutospacing="0" w:line="560" w:lineRule="exact"/>
        <w:ind w:left="0" w:leftChars="0"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（二）创新创业团队项目支持、公共服务平台建设支持、高端项目并购支持等支持计划的项目不受《南山区自主创新产业发展专项资金管理办法》</w:t>
      </w:r>
      <w:r>
        <w:rPr>
          <w:rFonts w:hint="eastAsia" w:ascii="仿宋_GB2312" w:hAnsi="仿宋_GB2312" w:eastAsia="仿宋_GB2312" w:cs="仿宋_GB2312"/>
          <w:sz w:val="32"/>
          <w:szCs w:val="32"/>
          <w:highlight w:val="none"/>
          <w:lang w:eastAsia="zh-CN"/>
        </w:rPr>
        <w:t>规定的</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eastAsia="zh-CN"/>
        </w:rPr>
        <w:t>每家单位</w:t>
      </w:r>
      <w:r>
        <w:rPr>
          <w:rFonts w:hint="eastAsia" w:ascii="仿宋_GB2312" w:hAnsi="仿宋_GB2312" w:eastAsia="仿宋_GB2312" w:cs="仿宋_GB2312"/>
          <w:sz w:val="32"/>
          <w:szCs w:val="32"/>
          <w:highlight w:val="none"/>
        </w:rPr>
        <w:t>单个扶持项目资助金额原则上不得超过1000万元</w:t>
      </w:r>
      <w:r>
        <w:rPr>
          <w:rFonts w:hint="eastAsia" w:ascii="仿宋_GB2312" w:hAnsi="仿宋_GB2312" w:eastAsia="仿宋_GB2312" w:cs="仿宋_GB2312"/>
          <w:sz w:val="32"/>
          <w:szCs w:val="32"/>
          <w:highlight w:val="none"/>
          <w:lang w:val="en-US" w:eastAsia="zh-CN"/>
        </w:rPr>
        <w:t>”总量控制限制。</w:t>
      </w:r>
    </w:p>
    <w:p>
      <w:pPr>
        <w:pStyle w:val="11"/>
        <w:keepNext w:val="0"/>
        <w:keepLines w:val="0"/>
        <w:pageBreakBefore w:val="0"/>
        <w:widowControl w:val="0"/>
        <w:kinsoku/>
        <w:wordWrap/>
        <w:overflowPunct/>
        <w:topLinePunct w:val="0"/>
        <w:autoSpaceDE/>
        <w:autoSpaceDN/>
        <w:bidi w:val="0"/>
        <w:snapToGrid/>
        <w:spacing w:beforeAutospacing="0" w:afterAutospacing="0" w:line="560" w:lineRule="exact"/>
        <w:ind w:left="0" w:leftChars="0" w:firstLine="643" w:firstLineChars="200"/>
        <w:jc w:val="both"/>
        <w:textAlignment w:val="auto"/>
        <w:rPr>
          <w:rFonts w:hint="eastAsia" w:ascii="楷体_GB2312" w:hAnsi="楷体_GB2312" w:eastAsia="楷体_GB2312" w:cs="楷体_GB2312"/>
          <w:b/>
          <w:color w:val="auto"/>
          <w:kern w:val="2"/>
          <w:sz w:val="32"/>
          <w:szCs w:val="24"/>
          <w:highlight w:val="none"/>
          <w:lang w:val="en-US" w:eastAsia="zh-CN" w:bidi="ar"/>
        </w:rPr>
      </w:pPr>
      <w:r>
        <w:rPr>
          <w:rFonts w:hint="eastAsia" w:ascii="楷体_GB2312" w:hAnsi="楷体_GB2312" w:eastAsia="楷体_GB2312" w:cs="楷体_GB2312"/>
          <w:b/>
          <w:color w:val="auto"/>
          <w:kern w:val="2"/>
          <w:sz w:val="32"/>
          <w:szCs w:val="24"/>
          <w:highlight w:val="none"/>
          <w:lang w:val="en-US" w:eastAsia="zh-CN" w:bidi="ar"/>
        </w:rPr>
        <w:t>第五条  高层次专业人才引进支持</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left="0" w:leftChars="0" w:firstLine="640" w:firstLineChars="200"/>
        <w:jc w:val="both"/>
        <w:textAlignment w:val="auto"/>
        <w:outlineLvl w:val="2"/>
        <w:rPr>
          <w:rFonts w:ascii="仿宋_GB2312" w:hAnsi="仿宋_GB2312" w:cs="仿宋_GB2312"/>
          <w:kern w:val="0"/>
          <w:szCs w:val="32"/>
          <w:highlight w:val="none"/>
        </w:rPr>
      </w:pPr>
      <w:r>
        <w:rPr>
          <w:rFonts w:hint="eastAsia" w:ascii="仿宋_GB2312" w:hAnsi="仿宋_GB2312" w:cs="仿宋_GB2312"/>
          <w:kern w:val="0"/>
          <w:szCs w:val="32"/>
          <w:highlight w:val="none"/>
        </w:rPr>
        <w:t>对集成电路设计企业</w:t>
      </w:r>
      <w:r>
        <w:rPr>
          <w:rFonts w:hint="default" w:ascii="仿宋_GB2312" w:hAnsi="仿宋_GB2312" w:cs="仿宋_GB2312"/>
          <w:kern w:val="0"/>
          <w:szCs w:val="32"/>
          <w:highlight w:val="none"/>
        </w:rPr>
        <w:t>上一年度</w:t>
      </w:r>
      <w:r>
        <w:rPr>
          <w:rFonts w:hint="eastAsia" w:ascii="仿宋_GB2312" w:hAnsi="仿宋_GB2312" w:cs="仿宋_GB2312"/>
          <w:kern w:val="0"/>
          <w:szCs w:val="32"/>
          <w:highlight w:val="none"/>
        </w:rPr>
        <w:t>从市外引进集成电路</w:t>
      </w:r>
      <w:r>
        <w:rPr>
          <w:rFonts w:hint="default" w:ascii="仿宋_GB2312" w:hAnsi="仿宋_GB2312" w:cs="仿宋_GB2312"/>
          <w:kern w:val="0"/>
          <w:szCs w:val="32"/>
          <w:highlight w:val="none"/>
        </w:rPr>
        <w:t>专业</w:t>
      </w:r>
      <w:r>
        <w:rPr>
          <w:rFonts w:hint="eastAsia" w:ascii="仿宋_GB2312" w:hAnsi="仿宋_GB2312" w:cs="仿宋_GB2312"/>
          <w:kern w:val="0"/>
          <w:szCs w:val="32"/>
          <w:highlight w:val="none"/>
        </w:rPr>
        <w:t>人才，</w:t>
      </w:r>
      <w:r>
        <w:rPr>
          <w:rFonts w:hint="default" w:ascii="仿宋_GB2312" w:hAnsi="仿宋_GB2312" w:cs="仿宋_GB2312"/>
          <w:kern w:val="0"/>
          <w:szCs w:val="32"/>
          <w:highlight w:val="none"/>
        </w:rPr>
        <w:t>按照</w:t>
      </w:r>
      <w:r>
        <w:rPr>
          <w:rFonts w:hint="eastAsia" w:ascii="仿宋_GB2312" w:hAnsi="仿宋_GB2312" w:cs="仿宋_GB2312"/>
          <w:kern w:val="0"/>
          <w:szCs w:val="32"/>
          <w:highlight w:val="none"/>
        </w:rPr>
        <w:t>签订三年以上（含三年）劳动合同</w:t>
      </w:r>
      <w:r>
        <w:rPr>
          <w:rFonts w:hint="default" w:ascii="仿宋_GB2312" w:hAnsi="仿宋_GB2312" w:cs="仿宋_GB2312"/>
          <w:kern w:val="0"/>
          <w:szCs w:val="32"/>
          <w:highlight w:val="none"/>
        </w:rPr>
        <w:t>人才的数量及质量，分档次给予资助，每家企业每年最高资助10</w:t>
      </w:r>
      <w:r>
        <w:rPr>
          <w:rFonts w:hint="eastAsia" w:ascii="仿宋_GB2312" w:hAnsi="仿宋_GB2312" w:cs="仿宋_GB2312"/>
          <w:kern w:val="0"/>
          <w:szCs w:val="32"/>
          <w:highlight w:val="none"/>
        </w:rPr>
        <w:t>0万元。</w:t>
      </w:r>
    </w:p>
    <w:p>
      <w:pPr>
        <w:pStyle w:val="11"/>
        <w:keepNext w:val="0"/>
        <w:keepLines w:val="0"/>
        <w:pageBreakBefore w:val="0"/>
        <w:widowControl w:val="0"/>
        <w:kinsoku/>
        <w:wordWrap/>
        <w:overflowPunct/>
        <w:topLinePunct w:val="0"/>
        <w:autoSpaceDE/>
        <w:autoSpaceDN/>
        <w:bidi w:val="0"/>
        <w:snapToGrid/>
        <w:spacing w:beforeAutospacing="0" w:afterAutospacing="0" w:line="560" w:lineRule="exact"/>
        <w:ind w:left="0" w:leftChars="0" w:firstLine="643" w:firstLineChars="200"/>
        <w:jc w:val="both"/>
        <w:textAlignment w:val="auto"/>
        <w:rPr>
          <w:rFonts w:hint="eastAsia" w:ascii="楷体_GB2312" w:hAnsi="楷体_GB2312" w:eastAsia="楷体_GB2312" w:cs="楷体_GB2312"/>
          <w:b/>
          <w:color w:val="auto"/>
          <w:kern w:val="2"/>
          <w:sz w:val="32"/>
          <w:szCs w:val="24"/>
          <w:highlight w:val="none"/>
          <w:lang w:val="en-US" w:eastAsia="zh-CN" w:bidi="ar"/>
        </w:rPr>
      </w:pPr>
      <w:r>
        <w:rPr>
          <w:rFonts w:hint="eastAsia" w:ascii="楷体_GB2312" w:hAnsi="楷体_GB2312" w:eastAsia="楷体_GB2312" w:cs="楷体_GB2312"/>
          <w:b/>
          <w:color w:val="auto"/>
          <w:kern w:val="2"/>
          <w:sz w:val="32"/>
          <w:szCs w:val="24"/>
          <w:highlight w:val="none"/>
          <w:lang w:val="en-US" w:eastAsia="zh-CN" w:bidi="ar"/>
        </w:rPr>
        <w:t>第六条  创新创业团队项目支持</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left="0" w:leftChars="0" w:firstLine="640" w:firstLineChars="200"/>
        <w:jc w:val="both"/>
        <w:textAlignment w:val="auto"/>
        <w:outlineLvl w:val="2"/>
        <w:rPr>
          <w:rFonts w:hint="eastAsia" w:ascii="仿宋_GB2312" w:hAnsi="仿宋_GB2312" w:cs="仿宋_GB2312"/>
          <w:kern w:val="0"/>
          <w:szCs w:val="32"/>
          <w:highlight w:val="none"/>
        </w:rPr>
      </w:pPr>
      <w:r>
        <w:rPr>
          <w:rFonts w:hint="eastAsia" w:ascii="仿宋_GB2312" w:hAnsi="仿宋_GB2312" w:cs="仿宋_GB2312"/>
          <w:kern w:val="0"/>
          <w:szCs w:val="32"/>
          <w:highlight w:val="none"/>
        </w:rPr>
        <w:t>引进和培育具有先进理念和管理水平、掌握核心技术的集成电路设计领域创新创业团队。对入选深圳市高层次人才团队的项目,市、区叠加给予最高1.2亿元资助；对入选广东省引进创新创业团队的项目，省、市、区叠加给予最高2.2亿元资助。</w:t>
      </w:r>
    </w:p>
    <w:p>
      <w:pPr>
        <w:pStyle w:val="11"/>
        <w:keepNext w:val="0"/>
        <w:keepLines w:val="0"/>
        <w:pageBreakBefore w:val="0"/>
        <w:widowControl w:val="0"/>
        <w:kinsoku/>
        <w:wordWrap/>
        <w:overflowPunct/>
        <w:topLinePunct w:val="0"/>
        <w:autoSpaceDE/>
        <w:autoSpaceDN/>
        <w:bidi w:val="0"/>
        <w:snapToGrid/>
        <w:spacing w:beforeAutospacing="0" w:afterAutospacing="0" w:line="560" w:lineRule="exact"/>
        <w:ind w:left="0" w:leftChars="0" w:firstLine="643" w:firstLineChars="200"/>
        <w:jc w:val="left"/>
        <w:textAlignment w:val="auto"/>
        <w:rPr>
          <w:rFonts w:hint="eastAsia" w:ascii="楷体_GB2312" w:hAnsi="楷体_GB2312" w:eastAsia="楷体_GB2312" w:cs="楷体_GB2312"/>
          <w:b/>
          <w:color w:val="auto"/>
          <w:kern w:val="2"/>
          <w:sz w:val="32"/>
          <w:szCs w:val="24"/>
          <w:highlight w:val="none"/>
          <w:lang w:bidi="ar"/>
        </w:rPr>
      </w:pPr>
      <w:r>
        <w:rPr>
          <w:rFonts w:hint="eastAsia" w:ascii="楷体_GB2312" w:hAnsi="楷体_GB2312" w:eastAsia="楷体_GB2312" w:cs="楷体_GB2312"/>
          <w:b/>
          <w:color w:val="auto"/>
          <w:kern w:val="2"/>
          <w:sz w:val="32"/>
          <w:szCs w:val="24"/>
          <w:highlight w:val="none"/>
          <w:lang w:bidi="ar"/>
        </w:rPr>
        <w:t xml:space="preserve">第七条 </w:t>
      </w:r>
      <w:r>
        <w:rPr>
          <w:rFonts w:hint="eastAsia" w:ascii="楷体_GB2312" w:hAnsi="楷体_GB2312" w:eastAsia="楷体_GB2312" w:cs="楷体_GB2312"/>
          <w:b/>
          <w:color w:val="auto"/>
          <w:kern w:val="2"/>
          <w:sz w:val="32"/>
          <w:szCs w:val="24"/>
          <w:highlight w:val="none"/>
          <w:lang w:val="en-US" w:eastAsia="zh-CN" w:bidi="ar"/>
        </w:rPr>
        <w:t xml:space="preserve"> </w:t>
      </w:r>
      <w:r>
        <w:rPr>
          <w:rFonts w:hint="eastAsia" w:ascii="楷体_GB2312" w:hAnsi="楷体_GB2312" w:eastAsia="楷体_GB2312" w:cs="楷体_GB2312"/>
          <w:b/>
          <w:color w:val="auto"/>
          <w:kern w:val="2"/>
          <w:sz w:val="32"/>
          <w:szCs w:val="24"/>
          <w:highlight w:val="none"/>
          <w:lang w:bidi="ar"/>
        </w:rPr>
        <w:t>核心设备购买支持</w:t>
      </w:r>
    </w:p>
    <w:p>
      <w:pPr>
        <w:pStyle w:val="12"/>
        <w:keepNext w:val="0"/>
        <w:keepLines w:val="0"/>
        <w:pageBreakBefore w:val="0"/>
        <w:widowControl w:val="0"/>
        <w:kinsoku/>
        <w:wordWrap/>
        <w:overflowPunct/>
        <w:topLinePunct w:val="0"/>
        <w:autoSpaceDE/>
        <w:autoSpaceDN/>
        <w:bidi w:val="0"/>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对集成电路设计企业购买核心设备（实际交易价格20万元以上），按</w:t>
      </w:r>
      <w:r>
        <w:rPr>
          <w:rFonts w:hint="default" w:ascii="仿宋_GB2312" w:hAnsi="仿宋_GB2312" w:eastAsia="仿宋_GB2312" w:cs="仿宋_GB2312"/>
          <w:kern w:val="0"/>
          <w:sz w:val="32"/>
          <w:szCs w:val="32"/>
          <w:highlight w:val="none"/>
          <w:lang w:val="en-US" w:eastAsia="zh-CN" w:bidi="ar-SA"/>
        </w:rPr>
        <w:t>照</w:t>
      </w:r>
      <w:r>
        <w:rPr>
          <w:rFonts w:hint="eastAsia" w:ascii="仿宋_GB2312" w:hAnsi="仿宋_GB2312" w:eastAsia="仿宋_GB2312" w:cs="仿宋_GB2312"/>
          <w:kern w:val="0"/>
          <w:sz w:val="32"/>
          <w:szCs w:val="32"/>
          <w:highlight w:val="none"/>
          <w:lang w:val="en-US" w:eastAsia="zh-CN" w:bidi="ar-SA"/>
        </w:rPr>
        <w:t>购置额20%</w:t>
      </w:r>
      <w:r>
        <w:rPr>
          <w:rFonts w:hint="default" w:ascii="仿宋_GB2312" w:hAnsi="仿宋_GB2312" w:eastAsia="仿宋_GB2312" w:cs="仿宋_GB2312"/>
          <w:kern w:val="0"/>
          <w:sz w:val="32"/>
          <w:szCs w:val="32"/>
          <w:highlight w:val="none"/>
          <w:lang w:val="en-US" w:eastAsia="zh-CN" w:bidi="ar-SA"/>
        </w:rPr>
        <w:t>给予</w:t>
      </w:r>
      <w:r>
        <w:rPr>
          <w:rFonts w:hint="eastAsia" w:ascii="仿宋_GB2312" w:hAnsi="仿宋_GB2312" w:eastAsia="仿宋_GB2312" w:cs="仿宋_GB2312"/>
          <w:kern w:val="0"/>
          <w:sz w:val="32"/>
          <w:szCs w:val="32"/>
          <w:highlight w:val="none"/>
          <w:lang w:val="en-US" w:eastAsia="zh-CN" w:bidi="ar-SA"/>
        </w:rPr>
        <w:t>补贴，每家企业每年最高补贴100万元。</w:t>
      </w:r>
    </w:p>
    <w:p>
      <w:pPr>
        <w:pStyle w:val="11"/>
        <w:keepNext w:val="0"/>
        <w:keepLines w:val="0"/>
        <w:pageBreakBefore w:val="0"/>
        <w:widowControl w:val="0"/>
        <w:kinsoku/>
        <w:wordWrap/>
        <w:overflowPunct/>
        <w:topLinePunct w:val="0"/>
        <w:autoSpaceDE/>
        <w:autoSpaceDN/>
        <w:bidi w:val="0"/>
        <w:snapToGrid/>
        <w:spacing w:beforeAutospacing="0" w:afterAutospacing="0" w:line="560" w:lineRule="exact"/>
        <w:ind w:left="0" w:leftChars="0" w:firstLine="643" w:firstLineChars="200"/>
        <w:jc w:val="left"/>
        <w:textAlignment w:val="auto"/>
        <w:rPr>
          <w:rFonts w:hint="eastAsia" w:ascii="楷体_GB2312" w:hAnsi="楷体_GB2312" w:eastAsia="楷体_GB2312" w:cs="楷体_GB2312"/>
          <w:b/>
          <w:color w:val="auto"/>
          <w:kern w:val="2"/>
          <w:sz w:val="32"/>
          <w:szCs w:val="24"/>
          <w:highlight w:val="none"/>
          <w:lang w:bidi="ar"/>
        </w:rPr>
      </w:pPr>
      <w:r>
        <w:rPr>
          <w:rFonts w:hint="eastAsia" w:ascii="楷体_GB2312" w:hAnsi="楷体_GB2312" w:eastAsia="楷体_GB2312" w:cs="楷体_GB2312"/>
          <w:b/>
          <w:color w:val="auto"/>
          <w:kern w:val="2"/>
          <w:sz w:val="32"/>
          <w:szCs w:val="24"/>
          <w:highlight w:val="none"/>
          <w:lang w:eastAsia="zh-CN" w:bidi="ar"/>
        </w:rPr>
        <w:t>第八条</w:t>
      </w:r>
      <w:r>
        <w:rPr>
          <w:rFonts w:hint="eastAsia" w:ascii="楷体_GB2312" w:hAnsi="楷体_GB2312" w:eastAsia="楷体_GB2312" w:cs="楷体_GB2312"/>
          <w:b/>
          <w:color w:val="auto"/>
          <w:kern w:val="2"/>
          <w:sz w:val="32"/>
          <w:szCs w:val="24"/>
          <w:highlight w:val="none"/>
          <w:lang w:val="en-US" w:eastAsia="zh-CN" w:bidi="ar"/>
        </w:rPr>
        <w:t xml:space="preserve">  </w:t>
      </w:r>
      <w:r>
        <w:rPr>
          <w:rFonts w:hint="eastAsia" w:ascii="楷体_GB2312" w:hAnsi="楷体_GB2312" w:eastAsia="楷体_GB2312" w:cs="楷体_GB2312"/>
          <w:b/>
          <w:color w:val="auto"/>
          <w:kern w:val="2"/>
          <w:sz w:val="32"/>
          <w:szCs w:val="24"/>
          <w:highlight w:val="none"/>
          <w:lang w:bidi="ar"/>
        </w:rPr>
        <w:t>关键技术攻关支持</w:t>
      </w:r>
    </w:p>
    <w:p>
      <w:pPr>
        <w:pStyle w:val="12"/>
        <w:keepNext w:val="0"/>
        <w:keepLines w:val="0"/>
        <w:pageBreakBefore w:val="0"/>
        <w:widowControl w:val="0"/>
        <w:kinsoku/>
        <w:wordWrap/>
        <w:overflowPunct/>
        <w:topLinePunct w:val="0"/>
        <w:autoSpaceDE/>
        <w:autoSpaceDN/>
        <w:bidi w:val="0"/>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支持</w:t>
      </w:r>
      <w:r>
        <w:rPr>
          <w:rFonts w:hint="default" w:ascii="仿宋_GB2312" w:hAnsi="仿宋_GB2312" w:eastAsia="仿宋_GB2312" w:cs="仿宋_GB2312"/>
          <w:kern w:val="0"/>
          <w:sz w:val="32"/>
          <w:szCs w:val="32"/>
          <w:highlight w:val="none"/>
          <w:lang w:val="en-US" w:eastAsia="zh-CN" w:bidi="ar-SA"/>
        </w:rPr>
        <w:t>辖区</w:t>
      </w:r>
      <w:r>
        <w:rPr>
          <w:rFonts w:hint="eastAsia" w:ascii="仿宋_GB2312" w:hAnsi="仿宋_GB2312" w:eastAsia="仿宋_GB2312" w:cs="仿宋_GB2312"/>
          <w:kern w:val="0"/>
          <w:sz w:val="32"/>
          <w:szCs w:val="32"/>
          <w:highlight w:val="none"/>
          <w:lang w:val="en-US" w:eastAsia="zh-CN" w:bidi="ar-SA"/>
        </w:rPr>
        <w:t>集成电路设计企业针对重点发展的高端领域和关键环节，开展具有重大创新性和突破性的技术研发活动。对经区科技主管部门备案，且获得市科技行政主管部门技术攻关专项（集成电路产业重点项目）资助的牵头单位，按照</w:t>
      </w:r>
      <w:r>
        <w:rPr>
          <w:rFonts w:hint="default" w:ascii="仿宋_GB2312" w:hAnsi="仿宋_GB2312" w:eastAsia="仿宋_GB2312" w:cs="仿宋_GB2312"/>
          <w:kern w:val="0"/>
          <w:sz w:val="32"/>
          <w:szCs w:val="32"/>
          <w:highlight w:val="none"/>
          <w:lang w:val="en-US" w:eastAsia="zh-CN" w:bidi="ar-SA"/>
        </w:rPr>
        <w:t>不超过</w:t>
      </w:r>
      <w:r>
        <w:rPr>
          <w:rFonts w:hint="eastAsia" w:ascii="仿宋_GB2312" w:hAnsi="仿宋_GB2312" w:eastAsia="仿宋_GB2312" w:cs="仿宋_GB2312"/>
          <w:kern w:val="0"/>
          <w:sz w:val="32"/>
          <w:szCs w:val="32"/>
          <w:highlight w:val="none"/>
          <w:lang w:val="en-US" w:eastAsia="zh-CN" w:bidi="ar-SA"/>
        </w:rPr>
        <w:t>获得市级资助金额</w:t>
      </w:r>
      <w:r>
        <w:rPr>
          <w:rFonts w:hint="default" w:ascii="仿宋_GB2312" w:hAnsi="仿宋_GB2312" w:eastAsia="仿宋_GB2312" w:cs="仿宋_GB2312"/>
          <w:kern w:val="0"/>
          <w:sz w:val="32"/>
          <w:szCs w:val="32"/>
          <w:highlight w:val="none"/>
          <w:lang w:val="en-US" w:eastAsia="zh-CN" w:bidi="ar-SA"/>
        </w:rPr>
        <w:t>的60</w:t>
      </w:r>
      <w:r>
        <w:rPr>
          <w:rFonts w:hint="eastAsia" w:ascii="仿宋_GB2312" w:hAnsi="仿宋_GB2312" w:eastAsia="仿宋_GB2312" w:cs="仿宋_GB2312"/>
          <w:kern w:val="0"/>
          <w:sz w:val="32"/>
          <w:szCs w:val="32"/>
          <w:highlight w:val="none"/>
          <w:lang w:val="en-US" w:eastAsia="zh-CN" w:bidi="ar-SA"/>
        </w:rPr>
        <w:t>%给予资助，每个项目最高资助</w:t>
      </w:r>
      <w:r>
        <w:rPr>
          <w:rFonts w:hint="default" w:ascii="仿宋_GB2312" w:hAnsi="仿宋_GB2312" w:eastAsia="仿宋_GB2312" w:cs="仿宋_GB2312"/>
          <w:kern w:val="0"/>
          <w:sz w:val="32"/>
          <w:szCs w:val="32"/>
          <w:highlight w:val="none"/>
          <w:lang w:val="en-US" w:eastAsia="zh-CN" w:bidi="ar-SA"/>
        </w:rPr>
        <w:t>6</w:t>
      </w:r>
      <w:r>
        <w:rPr>
          <w:rFonts w:hint="eastAsia" w:ascii="仿宋_GB2312" w:hAnsi="仿宋_GB2312" w:eastAsia="仿宋_GB2312" w:cs="仿宋_GB2312"/>
          <w:kern w:val="0"/>
          <w:sz w:val="32"/>
          <w:szCs w:val="32"/>
          <w:highlight w:val="none"/>
          <w:lang w:val="en-US" w:eastAsia="zh-CN" w:bidi="ar-SA"/>
        </w:rPr>
        <w:t>00万元。</w:t>
      </w:r>
    </w:p>
    <w:p>
      <w:pPr>
        <w:pStyle w:val="11"/>
        <w:keepNext w:val="0"/>
        <w:keepLines w:val="0"/>
        <w:pageBreakBefore w:val="0"/>
        <w:widowControl w:val="0"/>
        <w:kinsoku/>
        <w:wordWrap/>
        <w:overflowPunct/>
        <w:topLinePunct w:val="0"/>
        <w:autoSpaceDE/>
        <w:autoSpaceDN/>
        <w:bidi w:val="0"/>
        <w:snapToGrid/>
        <w:spacing w:beforeAutospacing="0" w:afterAutospacing="0" w:line="560" w:lineRule="exact"/>
        <w:ind w:left="0" w:leftChars="0" w:firstLine="643" w:firstLineChars="200"/>
        <w:jc w:val="left"/>
        <w:textAlignment w:val="auto"/>
        <w:rPr>
          <w:rFonts w:hint="eastAsia" w:ascii="楷体_GB2312" w:hAnsi="楷体_GB2312" w:eastAsia="楷体_GB2312" w:cs="楷体_GB2312"/>
          <w:b/>
          <w:color w:val="auto"/>
          <w:kern w:val="2"/>
          <w:sz w:val="32"/>
          <w:szCs w:val="24"/>
          <w:highlight w:val="none"/>
          <w:lang w:eastAsia="zh-CN" w:bidi="ar"/>
        </w:rPr>
      </w:pPr>
      <w:r>
        <w:rPr>
          <w:rFonts w:hint="eastAsia" w:ascii="楷体_GB2312" w:hAnsi="楷体_GB2312" w:eastAsia="楷体_GB2312" w:cs="楷体_GB2312"/>
          <w:b/>
          <w:color w:val="auto"/>
          <w:kern w:val="2"/>
          <w:sz w:val="32"/>
          <w:szCs w:val="24"/>
          <w:highlight w:val="none"/>
          <w:lang w:eastAsia="zh-CN" w:bidi="ar"/>
        </w:rPr>
        <w:t>第九条</w:t>
      </w:r>
      <w:r>
        <w:rPr>
          <w:rFonts w:hint="eastAsia" w:ascii="楷体_GB2312" w:hAnsi="楷体_GB2312" w:eastAsia="楷体_GB2312" w:cs="楷体_GB2312"/>
          <w:b/>
          <w:color w:val="auto"/>
          <w:kern w:val="2"/>
          <w:sz w:val="32"/>
          <w:szCs w:val="24"/>
          <w:highlight w:val="none"/>
          <w:lang w:val="en-US" w:eastAsia="zh-CN" w:bidi="ar"/>
        </w:rPr>
        <w:t xml:space="preserve">  </w:t>
      </w:r>
      <w:r>
        <w:rPr>
          <w:rFonts w:hint="eastAsia" w:ascii="楷体_GB2312" w:hAnsi="楷体_GB2312" w:eastAsia="楷体_GB2312" w:cs="楷体_GB2312"/>
          <w:b/>
          <w:color w:val="auto"/>
          <w:kern w:val="2"/>
          <w:sz w:val="32"/>
          <w:szCs w:val="24"/>
          <w:highlight w:val="none"/>
          <w:lang w:eastAsia="zh-CN" w:bidi="ar"/>
        </w:rPr>
        <w:t>EDA/IP购买支持</w:t>
      </w:r>
    </w:p>
    <w:p>
      <w:pPr>
        <w:pStyle w:val="12"/>
        <w:keepNext w:val="0"/>
        <w:keepLines w:val="0"/>
        <w:pageBreakBefore w:val="0"/>
        <w:widowControl w:val="0"/>
        <w:kinsoku/>
        <w:wordWrap/>
        <w:overflowPunct/>
        <w:topLinePunct w:val="0"/>
        <w:autoSpaceDE/>
        <w:autoSpaceDN/>
        <w:bidi w:val="0"/>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支持集成电路企业购买IP(来源于IP提供商、EDA供应商或者代工厂IP模块)、EDA工具开展芯片研发，对上一年度购买南山区外企业的IP、EDA设计工具的企业，按照支付费用的30%给予补贴，每家企业每年最高补贴100万元，对上一年度购买南山区内企业的IP、EDA设计工具的企业，按照支付费用的60%给予补贴，每家企业每年最高补贴200万元。</w:t>
      </w:r>
    </w:p>
    <w:p>
      <w:pPr>
        <w:pStyle w:val="11"/>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left="0" w:leftChars="0" w:firstLine="643" w:firstLineChars="200"/>
        <w:jc w:val="left"/>
        <w:textAlignment w:val="auto"/>
        <w:outlineLvl w:val="2"/>
        <w:rPr>
          <w:rFonts w:hint="eastAsia" w:ascii="楷体_GB2312" w:hAnsi="楷体_GB2312" w:eastAsia="楷体_GB2312" w:cs="楷体_GB2312"/>
          <w:b/>
          <w:color w:val="auto"/>
          <w:kern w:val="2"/>
          <w:sz w:val="32"/>
          <w:szCs w:val="24"/>
          <w:highlight w:val="none"/>
          <w:lang w:bidi="ar"/>
        </w:rPr>
      </w:pPr>
      <w:r>
        <w:rPr>
          <w:rFonts w:hint="eastAsia" w:ascii="楷体_GB2312" w:hAnsi="楷体_GB2312" w:eastAsia="楷体_GB2312" w:cs="楷体_GB2312"/>
          <w:b/>
          <w:color w:val="auto"/>
          <w:kern w:val="2"/>
          <w:sz w:val="32"/>
          <w:szCs w:val="24"/>
          <w:highlight w:val="none"/>
          <w:lang w:eastAsia="zh-CN" w:bidi="ar"/>
        </w:rPr>
        <w:t>第十条</w:t>
      </w:r>
      <w:r>
        <w:rPr>
          <w:rFonts w:hint="eastAsia" w:ascii="楷体_GB2312" w:hAnsi="楷体_GB2312" w:eastAsia="楷体_GB2312" w:cs="楷体_GB2312"/>
          <w:b/>
          <w:color w:val="auto"/>
          <w:kern w:val="2"/>
          <w:sz w:val="32"/>
          <w:szCs w:val="24"/>
          <w:highlight w:val="none"/>
          <w:lang w:val="en-US" w:eastAsia="zh-CN" w:bidi="ar"/>
        </w:rPr>
        <w:t xml:space="preserve">  </w:t>
      </w:r>
      <w:r>
        <w:rPr>
          <w:rFonts w:hint="eastAsia" w:ascii="楷体_GB2312" w:hAnsi="楷体_GB2312" w:eastAsia="楷体_GB2312" w:cs="楷体_GB2312"/>
          <w:b/>
          <w:color w:val="auto"/>
          <w:kern w:val="2"/>
          <w:sz w:val="32"/>
          <w:szCs w:val="24"/>
          <w:highlight w:val="none"/>
          <w:lang w:bidi="ar"/>
        </w:rPr>
        <w:t>EDA研发支持</w:t>
      </w:r>
    </w:p>
    <w:p>
      <w:pPr>
        <w:pStyle w:val="11"/>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left="0" w:leftChars="0" w:firstLine="640" w:firstLineChars="200"/>
        <w:jc w:val="left"/>
        <w:textAlignment w:val="auto"/>
        <w:outlineLvl w:val="2"/>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对从事EDA工具软件研发的企业，按照EDA研发费用的20%给予一次性最高1000万元补贴。</w:t>
      </w:r>
    </w:p>
    <w:p>
      <w:pPr>
        <w:pStyle w:val="11"/>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left="0" w:leftChars="0" w:firstLine="643" w:firstLineChars="200"/>
        <w:jc w:val="left"/>
        <w:textAlignment w:val="auto"/>
        <w:outlineLvl w:val="2"/>
        <w:rPr>
          <w:rFonts w:hint="eastAsia" w:ascii="楷体_GB2312" w:hAnsi="楷体_GB2312" w:eastAsia="楷体_GB2312" w:cs="楷体_GB2312"/>
          <w:b/>
          <w:color w:val="auto"/>
          <w:kern w:val="2"/>
          <w:sz w:val="32"/>
          <w:szCs w:val="24"/>
          <w:highlight w:val="none"/>
          <w:lang w:bidi="ar"/>
        </w:rPr>
      </w:pPr>
      <w:r>
        <w:rPr>
          <w:rFonts w:hint="eastAsia" w:ascii="楷体_GB2312" w:hAnsi="楷体_GB2312" w:eastAsia="楷体_GB2312" w:cs="楷体_GB2312"/>
          <w:b/>
          <w:color w:val="auto"/>
          <w:kern w:val="2"/>
          <w:sz w:val="32"/>
          <w:szCs w:val="24"/>
          <w:highlight w:val="none"/>
          <w:lang w:bidi="ar"/>
        </w:rPr>
        <w:t>第</w:t>
      </w:r>
      <w:r>
        <w:rPr>
          <w:rFonts w:hint="eastAsia" w:ascii="楷体_GB2312" w:hAnsi="楷体_GB2312" w:eastAsia="楷体_GB2312" w:cs="楷体_GB2312"/>
          <w:b/>
          <w:color w:val="auto"/>
          <w:kern w:val="2"/>
          <w:sz w:val="32"/>
          <w:szCs w:val="24"/>
          <w:highlight w:val="none"/>
          <w:lang w:eastAsia="zh-CN" w:bidi="ar"/>
        </w:rPr>
        <w:t>十一</w:t>
      </w:r>
      <w:r>
        <w:rPr>
          <w:rFonts w:hint="eastAsia" w:ascii="楷体_GB2312" w:hAnsi="楷体_GB2312" w:eastAsia="楷体_GB2312" w:cs="楷体_GB2312"/>
          <w:b/>
          <w:color w:val="auto"/>
          <w:kern w:val="2"/>
          <w:sz w:val="32"/>
          <w:szCs w:val="24"/>
          <w:highlight w:val="none"/>
          <w:lang w:bidi="ar"/>
        </w:rPr>
        <w:t xml:space="preserve">条 </w:t>
      </w:r>
      <w:r>
        <w:rPr>
          <w:rFonts w:hint="eastAsia" w:ascii="楷体_GB2312" w:hAnsi="楷体_GB2312" w:eastAsia="楷体_GB2312" w:cs="楷体_GB2312"/>
          <w:b/>
          <w:color w:val="auto"/>
          <w:kern w:val="2"/>
          <w:sz w:val="32"/>
          <w:szCs w:val="24"/>
          <w:highlight w:val="none"/>
          <w:lang w:val="en-US" w:eastAsia="zh-CN" w:bidi="ar"/>
        </w:rPr>
        <w:t xml:space="preserve"> </w:t>
      </w:r>
      <w:r>
        <w:rPr>
          <w:rFonts w:hint="eastAsia" w:ascii="楷体_GB2312" w:hAnsi="楷体_GB2312" w:eastAsia="楷体_GB2312" w:cs="楷体_GB2312"/>
          <w:b/>
          <w:color w:val="auto"/>
          <w:kern w:val="2"/>
          <w:sz w:val="32"/>
          <w:szCs w:val="24"/>
          <w:highlight w:val="none"/>
          <w:lang w:bidi="ar"/>
        </w:rPr>
        <w:t>流片服务支持</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left="0" w:leftChars="0" w:firstLine="640" w:firstLineChars="200"/>
        <w:jc w:val="both"/>
        <w:textAlignment w:val="auto"/>
        <w:outlineLvl w:val="2"/>
        <w:rPr>
          <w:rFonts w:hint="eastAsia" w:ascii="仿宋_GB2312" w:hAnsi="黑体"/>
          <w:szCs w:val="32"/>
          <w:highlight w:val="none"/>
        </w:rPr>
      </w:pPr>
      <w:r>
        <w:rPr>
          <w:rFonts w:hint="eastAsia" w:ascii="仿宋_GB2312"/>
          <w:color w:val="000000"/>
          <w:szCs w:val="32"/>
          <w:highlight w:val="none"/>
        </w:rPr>
        <w:t>对集成电路企业首次工程流片进行支持，按照上一年度首次工程流片费用(含掩模版制作、流片等)的10%给予补贴，大于28nm(含)的工艺节点，每家企业每年最高补贴150万元， 7nm（不含）到28nm（不含）节点，每家企业每年最高补贴300万元,小于7nm（含）节点，每家企业每年最高补贴1000万元；对使用多项目晶圆（MPW）流片进行研发的企业，按照上一年度MPW流片费用的10%给予补贴，大于28nm(含)的工艺节点，每家企业每年最高补贴100万元，7nm(不含)到28nm（不含）节点，每家企业每年最高补贴200万元，小于7nm(含)以下节点，每家企业每年最高补贴500万元</w:t>
      </w:r>
      <w:r>
        <w:rPr>
          <w:rFonts w:hint="eastAsia" w:ascii="仿宋_GB2312" w:hAnsi="黑体"/>
          <w:szCs w:val="32"/>
          <w:highlight w:val="none"/>
        </w:rPr>
        <w:t>。</w:t>
      </w:r>
    </w:p>
    <w:p>
      <w:pPr>
        <w:pStyle w:val="11"/>
        <w:keepNext w:val="0"/>
        <w:keepLines w:val="0"/>
        <w:pageBreakBefore w:val="0"/>
        <w:widowControl w:val="0"/>
        <w:kinsoku/>
        <w:wordWrap/>
        <w:overflowPunct/>
        <w:topLinePunct w:val="0"/>
        <w:autoSpaceDE/>
        <w:autoSpaceDN/>
        <w:bidi w:val="0"/>
        <w:snapToGrid/>
        <w:spacing w:beforeAutospacing="0" w:afterAutospacing="0" w:line="560" w:lineRule="exact"/>
        <w:ind w:left="0" w:leftChars="0" w:firstLine="643" w:firstLineChars="200"/>
        <w:jc w:val="left"/>
        <w:textAlignment w:val="auto"/>
        <w:rPr>
          <w:rFonts w:hint="eastAsia" w:ascii="楷体_GB2312" w:hAnsi="楷体_GB2312" w:eastAsia="楷体_GB2312" w:cs="楷体_GB2312"/>
          <w:b/>
          <w:color w:val="auto"/>
          <w:kern w:val="2"/>
          <w:sz w:val="32"/>
          <w:szCs w:val="24"/>
          <w:highlight w:val="none"/>
          <w:lang w:bidi="ar"/>
        </w:rPr>
      </w:pPr>
      <w:r>
        <w:rPr>
          <w:rFonts w:hint="eastAsia" w:ascii="楷体_GB2312" w:hAnsi="楷体_GB2312" w:eastAsia="楷体_GB2312" w:cs="楷体_GB2312"/>
          <w:b/>
          <w:color w:val="auto"/>
          <w:kern w:val="2"/>
          <w:sz w:val="32"/>
          <w:szCs w:val="24"/>
          <w:highlight w:val="none"/>
          <w:lang w:bidi="ar"/>
        </w:rPr>
        <w:t>第</w:t>
      </w:r>
      <w:r>
        <w:rPr>
          <w:rFonts w:hint="eastAsia" w:ascii="楷体_GB2312" w:hAnsi="楷体_GB2312" w:eastAsia="楷体_GB2312" w:cs="楷体_GB2312"/>
          <w:b/>
          <w:color w:val="auto"/>
          <w:kern w:val="2"/>
          <w:sz w:val="32"/>
          <w:szCs w:val="24"/>
          <w:highlight w:val="none"/>
          <w:lang w:eastAsia="zh-CN" w:bidi="ar"/>
        </w:rPr>
        <w:t>十二</w:t>
      </w:r>
      <w:r>
        <w:rPr>
          <w:rFonts w:hint="eastAsia" w:ascii="楷体_GB2312" w:hAnsi="楷体_GB2312" w:eastAsia="楷体_GB2312" w:cs="楷体_GB2312"/>
          <w:b/>
          <w:color w:val="auto"/>
          <w:kern w:val="2"/>
          <w:sz w:val="32"/>
          <w:szCs w:val="24"/>
          <w:highlight w:val="none"/>
          <w:lang w:bidi="ar"/>
        </w:rPr>
        <w:t xml:space="preserve">条 </w:t>
      </w:r>
      <w:r>
        <w:rPr>
          <w:rFonts w:hint="eastAsia" w:ascii="楷体_GB2312" w:hAnsi="楷体_GB2312" w:eastAsia="楷体_GB2312" w:cs="楷体_GB2312"/>
          <w:b/>
          <w:color w:val="auto"/>
          <w:kern w:val="2"/>
          <w:sz w:val="32"/>
          <w:szCs w:val="24"/>
          <w:highlight w:val="none"/>
          <w:lang w:val="en-US" w:eastAsia="zh-CN" w:bidi="ar"/>
        </w:rPr>
        <w:t xml:space="preserve"> </w:t>
      </w:r>
      <w:r>
        <w:rPr>
          <w:rFonts w:hint="eastAsia" w:ascii="楷体_GB2312" w:hAnsi="楷体_GB2312" w:eastAsia="楷体_GB2312" w:cs="楷体_GB2312"/>
          <w:b/>
          <w:color w:val="auto"/>
          <w:kern w:val="2"/>
          <w:sz w:val="32"/>
          <w:szCs w:val="24"/>
          <w:highlight w:val="none"/>
          <w:lang w:bidi="ar"/>
        </w:rPr>
        <w:t>公共服务平台建设支持</w:t>
      </w:r>
    </w:p>
    <w:p>
      <w:pPr>
        <w:pStyle w:val="12"/>
        <w:keepNext w:val="0"/>
        <w:keepLines w:val="0"/>
        <w:pageBreakBefore w:val="0"/>
        <w:widowControl w:val="0"/>
        <w:kinsoku/>
        <w:wordWrap/>
        <w:overflowPunct/>
        <w:topLinePunct w:val="0"/>
        <w:autoSpaceDE/>
        <w:autoSpaceDN/>
        <w:bidi w:val="0"/>
        <w:snapToGrid/>
        <w:spacing w:beforeAutospacing="0" w:after="0" w:afterAutospacing="0" w:line="560" w:lineRule="exact"/>
        <w:ind w:left="0" w:leftChars="0" w:firstLine="640" w:firstLineChars="200"/>
        <w:jc w:val="both"/>
        <w:textAlignment w:val="auto"/>
        <w:rPr>
          <w:rFonts w:hint="eastAsia" w:ascii="仿宋_GB2312" w:hAnsi="Times New Roman" w:eastAsia="仿宋_GB2312" w:cs="Times New Roman"/>
          <w:color w:val="000000"/>
          <w:kern w:val="2"/>
          <w:sz w:val="32"/>
          <w:szCs w:val="32"/>
          <w:highlight w:val="none"/>
          <w:lang w:val="en-US" w:eastAsia="zh-CN" w:bidi="ar-SA"/>
        </w:rPr>
      </w:pPr>
      <w:r>
        <w:rPr>
          <w:rFonts w:hint="eastAsia" w:ascii="仿宋_GB2312" w:hAnsi="Times New Roman" w:eastAsia="仿宋_GB2312" w:cs="Times New Roman"/>
          <w:color w:val="000000"/>
          <w:kern w:val="2"/>
          <w:sz w:val="32"/>
          <w:szCs w:val="32"/>
          <w:highlight w:val="none"/>
          <w:lang w:val="en-US" w:eastAsia="zh-Hans" w:bidi="ar-SA"/>
        </w:rPr>
        <w:t>对</w:t>
      </w:r>
      <w:r>
        <w:rPr>
          <w:rFonts w:hint="eastAsia" w:ascii="仿宋_GB2312" w:hAnsi="Times New Roman" w:eastAsia="仿宋_GB2312" w:cs="Times New Roman"/>
          <w:color w:val="000000"/>
          <w:kern w:val="2"/>
          <w:sz w:val="32"/>
          <w:szCs w:val="32"/>
          <w:highlight w:val="none"/>
          <w:lang w:val="en-US" w:eastAsia="zh-CN" w:bidi="ar-SA"/>
        </w:rPr>
        <w:t>围绕集成电路</w:t>
      </w:r>
      <w:r>
        <w:rPr>
          <w:rFonts w:hint="eastAsia" w:ascii="仿宋_GB2312" w:hAnsi="Times New Roman" w:eastAsia="仿宋_GB2312" w:cs="Times New Roman"/>
          <w:color w:val="000000"/>
          <w:kern w:val="2"/>
          <w:sz w:val="32"/>
          <w:szCs w:val="32"/>
          <w:highlight w:val="none"/>
          <w:lang w:val="en-US" w:eastAsia="zh-Hans" w:bidi="ar-SA"/>
        </w:rPr>
        <w:t>产业</w:t>
      </w:r>
      <w:r>
        <w:rPr>
          <w:rFonts w:hint="eastAsia" w:ascii="仿宋_GB2312" w:hAnsi="Times New Roman" w:eastAsia="仿宋_GB2312" w:cs="Times New Roman"/>
          <w:color w:val="000000"/>
          <w:kern w:val="2"/>
          <w:sz w:val="32"/>
          <w:szCs w:val="32"/>
          <w:highlight w:val="none"/>
          <w:lang w:val="en-US" w:eastAsia="zh-CN" w:bidi="ar-SA"/>
        </w:rPr>
        <w:t>发展</w:t>
      </w:r>
      <w:r>
        <w:rPr>
          <w:rFonts w:hint="eastAsia" w:ascii="仿宋_GB2312" w:hAnsi="Times New Roman" w:eastAsia="仿宋_GB2312" w:cs="Times New Roman"/>
          <w:color w:val="000000"/>
          <w:kern w:val="2"/>
          <w:sz w:val="32"/>
          <w:szCs w:val="32"/>
          <w:highlight w:val="none"/>
          <w:lang w:val="en-US" w:eastAsia="zh-Hans" w:bidi="ar-SA"/>
        </w:rPr>
        <w:t>领域的</w:t>
      </w:r>
      <w:r>
        <w:rPr>
          <w:rFonts w:hint="eastAsia" w:ascii="仿宋_GB2312" w:hAnsi="Times New Roman" w:eastAsia="仿宋_GB2312" w:cs="Times New Roman"/>
          <w:color w:val="000000"/>
          <w:kern w:val="2"/>
          <w:sz w:val="32"/>
          <w:szCs w:val="32"/>
          <w:highlight w:val="none"/>
          <w:lang w:val="en-US" w:eastAsia="zh-CN" w:bidi="ar-SA"/>
        </w:rPr>
        <w:t>技术研发和成果转化</w:t>
      </w:r>
      <w:r>
        <w:rPr>
          <w:rFonts w:hint="eastAsia" w:ascii="仿宋_GB2312" w:hAnsi="Times New Roman" w:eastAsia="仿宋_GB2312" w:cs="Times New Roman"/>
          <w:color w:val="000000"/>
          <w:kern w:val="2"/>
          <w:sz w:val="32"/>
          <w:szCs w:val="32"/>
          <w:highlight w:val="none"/>
          <w:lang w:val="en-US" w:eastAsia="zh-Hans" w:bidi="ar-SA"/>
        </w:rPr>
        <w:t>共性</w:t>
      </w:r>
      <w:r>
        <w:rPr>
          <w:rFonts w:hint="eastAsia" w:ascii="仿宋_GB2312" w:hAnsi="Times New Roman" w:eastAsia="仿宋_GB2312" w:cs="Times New Roman"/>
          <w:color w:val="000000"/>
          <w:kern w:val="2"/>
          <w:sz w:val="32"/>
          <w:szCs w:val="32"/>
          <w:highlight w:val="none"/>
          <w:lang w:val="en-US" w:eastAsia="zh-CN" w:bidi="ar-SA"/>
        </w:rPr>
        <w:t>服务需求</w:t>
      </w:r>
      <w:r>
        <w:rPr>
          <w:rFonts w:hint="eastAsia" w:ascii="仿宋_GB2312" w:hAnsi="Times New Roman" w:eastAsia="仿宋_GB2312" w:cs="Times New Roman"/>
          <w:color w:val="000000"/>
          <w:kern w:val="2"/>
          <w:sz w:val="32"/>
          <w:szCs w:val="32"/>
          <w:highlight w:val="none"/>
          <w:lang w:val="en-US" w:eastAsia="zh-Hans" w:bidi="ar-SA"/>
        </w:rPr>
        <w:t>，</w:t>
      </w:r>
      <w:r>
        <w:rPr>
          <w:rFonts w:hint="eastAsia" w:ascii="仿宋_GB2312" w:hAnsi="Times New Roman" w:eastAsia="仿宋_GB2312" w:cs="Times New Roman"/>
          <w:color w:val="000000"/>
          <w:kern w:val="2"/>
          <w:sz w:val="32"/>
          <w:szCs w:val="32"/>
          <w:highlight w:val="none"/>
          <w:lang w:val="en-US" w:eastAsia="zh-CN" w:bidi="ar-SA"/>
        </w:rPr>
        <w:t>提供设计服务、测试验证</w:t>
      </w:r>
      <w:r>
        <w:rPr>
          <w:rFonts w:hint="eastAsia" w:ascii="仿宋_GB2312" w:hAnsi="Times New Roman" w:eastAsia="仿宋_GB2312" w:cs="Times New Roman"/>
          <w:color w:val="000000"/>
          <w:kern w:val="2"/>
          <w:sz w:val="32"/>
          <w:szCs w:val="32"/>
          <w:highlight w:val="none"/>
          <w:lang w:val="en-US" w:eastAsia="zh-Hans" w:bidi="ar-SA"/>
        </w:rPr>
        <w:t>等</w:t>
      </w:r>
      <w:r>
        <w:rPr>
          <w:rFonts w:hint="eastAsia" w:ascii="仿宋_GB2312" w:hAnsi="Times New Roman" w:eastAsia="仿宋_GB2312" w:cs="Times New Roman"/>
          <w:color w:val="000000"/>
          <w:kern w:val="2"/>
          <w:sz w:val="32"/>
          <w:szCs w:val="32"/>
          <w:highlight w:val="none"/>
          <w:lang w:val="en-US" w:eastAsia="zh-CN" w:bidi="ar-SA"/>
        </w:rPr>
        <w:t>公共服务</w:t>
      </w:r>
      <w:r>
        <w:rPr>
          <w:rFonts w:hint="eastAsia" w:ascii="仿宋_GB2312" w:hAnsi="Times New Roman" w:eastAsia="仿宋_GB2312" w:cs="Times New Roman"/>
          <w:color w:val="000000"/>
          <w:kern w:val="2"/>
          <w:sz w:val="32"/>
          <w:szCs w:val="32"/>
          <w:highlight w:val="none"/>
          <w:lang w:val="en-US" w:eastAsia="zh-Hans" w:bidi="ar-SA"/>
        </w:rPr>
        <w:t>的创新</w:t>
      </w:r>
      <w:r>
        <w:rPr>
          <w:rFonts w:hint="eastAsia" w:ascii="仿宋_GB2312" w:hAnsi="Times New Roman" w:eastAsia="仿宋_GB2312" w:cs="Times New Roman"/>
          <w:color w:val="000000"/>
          <w:kern w:val="2"/>
          <w:sz w:val="32"/>
          <w:szCs w:val="32"/>
          <w:highlight w:val="none"/>
          <w:lang w:val="en-US" w:eastAsia="zh-CN" w:bidi="ar-SA"/>
        </w:rPr>
        <w:t>平台，经区科技主管部门评审通过后</w:t>
      </w:r>
      <w:r>
        <w:rPr>
          <w:rFonts w:hint="eastAsia" w:ascii="仿宋_GB2312" w:hAnsi="Times New Roman" w:eastAsia="仿宋_GB2312" w:cs="Times New Roman"/>
          <w:color w:val="000000"/>
          <w:kern w:val="2"/>
          <w:sz w:val="32"/>
          <w:szCs w:val="32"/>
          <w:highlight w:val="none"/>
          <w:lang w:val="en-US" w:eastAsia="zh-Hans" w:bidi="ar-SA"/>
        </w:rPr>
        <w:t>，</w:t>
      </w:r>
      <w:r>
        <w:rPr>
          <w:rFonts w:hint="eastAsia" w:ascii="仿宋_GB2312" w:hAnsi="Times New Roman" w:eastAsia="仿宋_GB2312" w:cs="Times New Roman"/>
          <w:color w:val="000000"/>
          <w:kern w:val="2"/>
          <w:sz w:val="32"/>
          <w:szCs w:val="32"/>
          <w:highlight w:val="none"/>
          <w:lang w:val="en-US" w:eastAsia="zh-CN" w:bidi="ar-SA"/>
        </w:rPr>
        <w:t>每年最高资助2000万元，连续资助时间不超过3年。</w:t>
      </w:r>
    </w:p>
    <w:p>
      <w:pPr>
        <w:pStyle w:val="11"/>
        <w:keepNext w:val="0"/>
        <w:keepLines w:val="0"/>
        <w:pageBreakBefore w:val="0"/>
        <w:widowControl w:val="0"/>
        <w:kinsoku/>
        <w:wordWrap/>
        <w:overflowPunct/>
        <w:topLinePunct w:val="0"/>
        <w:autoSpaceDE/>
        <w:autoSpaceDN/>
        <w:bidi w:val="0"/>
        <w:snapToGrid/>
        <w:spacing w:beforeAutospacing="0" w:afterAutospacing="0" w:line="560" w:lineRule="exact"/>
        <w:ind w:left="0" w:leftChars="0" w:firstLine="643" w:firstLineChars="200"/>
        <w:jc w:val="left"/>
        <w:textAlignment w:val="auto"/>
        <w:rPr>
          <w:rFonts w:hint="eastAsia" w:ascii="楷体_GB2312" w:hAnsi="楷体_GB2312" w:eastAsia="楷体_GB2312" w:cs="楷体_GB2312"/>
          <w:b/>
          <w:color w:val="auto"/>
          <w:kern w:val="2"/>
          <w:sz w:val="32"/>
          <w:szCs w:val="24"/>
          <w:highlight w:val="none"/>
          <w:lang w:bidi="ar"/>
        </w:rPr>
      </w:pPr>
      <w:r>
        <w:rPr>
          <w:rFonts w:hint="eastAsia" w:ascii="楷体_GB2312" w:hAnsi="楷体_GB2312" w:eastAsia="楷体_GB2312" w:cs="楷体_GB2312"/>
          <w:b/>
          <w:color w:val="auto"/>
          <w:kern w:val="2"/>
          <w:sz w:val="32"/>
          <w:szCs w:val="24"/>
          <w:highlight w:val="none"/>
          <w:lang w:bidi="ar"/>
        </w:rPr>
        <w:t xml:space="preserve">第十三条 </w:t>
      </w:r>
      <w:r>
        <w:rPr>
          <w:rFonts w:hint="eastAsia" w:ascii="楷体_GB2312" w:hAnsi="楷体_GB2312" w:eastAsia="楷体_GB2312" w:cs="楷体_GB2312"/>
          <w:b/>
          <w:color w:val="auto"/>
          <w:kern w:val="2"/>
          <w:sz w:val="32"/>
          <w:szCs w:val="24"/>
          <w:highlight w:val="none"/>
          <w:lang w:val="en-US" w:eastAsia="zh-CN" w:bidi="ar"/>
        </w:rPr>
        <w:t xml:space="preserve"> </w:t>
      </w:r>
      <w:r>
        <w:rPr>
          <w:rFonts w:hint="eastAsia" w:ascii="楷体_GB2312" w:hAnsi="楷体_GB2312" w:eastAsia="楷体_GB2312" w:cs="楷体_GB2312"/>
          <w:b/>
          <w:color w:val="auto"/>
          <w:kern w:val="2"/>
          <w:sz w:val="32"/>
          <w:szCs w:val="24"/>
          <w:highlight w:val="none"/>
          <w:lang w:bidi="ar"/>
        </w:rPr>
        <w:t>工程样片测试验证支持</w:t>
      </w:r>
    </w:p>
    <w:p>
      <w:pPr>
        <w:pStyle w:val="12"/>
        <w:keepNext w:val="0"/>
        <w:keepLines w:val="0"/>
        <w:pageBreakBefore w:val="0"/>
        <w:widowControl w:val="0"/>
        <w:kinsoku/>
        <w:wordWrap/>
        <w:overflowPunct/>
        <w:topLinePunct w:val="0"/>
        <w:autoSpaceDE/>
        <w:autoSpaceDN/>
        <w:bidi w:val="0"/>
        <w:snapToGrid/>
        <w:spacing w:beforeAutospacing="0" w:after="0" w:afterAutospacing="0" w:line="560" w:lineRule="exact"/>
        <w:ind w:left="0" w:leftChars="0" w:firstLine="640" w:firstLineChars="200"/>
        <w:jc w:val="both"/>
        <w:textAlignment w:val="auto"/>
        <w:rPr>
          <w:rFonts w:hint="eastAsia" w:ascii="仿宋_GB2312" w:hAnsi="Times New Roman" w:eastAsia="仿宋_GB2312" w:cs="Times New Roman"/>
          <w:color w:val="000000"/>
          <w:kern w:val="2"/>
          <w:sz w:val="32"/>
          <w:szCs w:val="32"/>
          <w:highlight w:val="none"/>
          <w:lang w:val="en-US" w:eastAsia="zh-Hans" w:bidi="ar-SA"/>
        </w:rPr>
      </w:pPr>
      <w:r>
        <w:rPr>
          <w:rFonts w:hint="eastAsia" w:ascii="仿宋_GB2312" w:hAnsi="Times New Roman" w:eastAsia="仿宋_GB2312" w:cs="Times New Roman"/>
          <w:color w:val="000000"/>
          <w:kern w:val="2"/>
          <w:sz w:val="32"/>
          <w:szCs w:val="32"/>
          <w:highlight w:val="none"/>
          <w:lang w:val="en-US" w:eastAsia="zh-Hans" w:bidi="ar-SA"/>
        </w:rPr>
        <w:t>对开展工程样片的功能、性能、可靠性、兼容性、失效分析等方面的测试验证及相关认证的集成电路设计企业，按</w:t>
      </w:r>
      <w:r>
        <w:rPr>
          <w:rFonts w:hint="default" w:ascii="仿宋_GB2312" w:hAnsi="Times New Roman" w:eastAsia="仿宋_GB2312" w:cs="Times New Roman"/>
          <w:color w:val="000000"/>
          <w:kern w:val="2"/>
          <w:sz w:val="32"/>
          <w:szCs w:val="32"/>
          <w:highlight w:val="none"/>
          <w:lang w:val="en-US" w:eastAsia="zh-Hans" w:bidi="ar-SA"/>
        </w:rPr>
        <w:t>照</w:t>
      </w:r>
      <w:r>
        <w:rPr>
          <w:rFonts w:hint="eastAsia" w:ascii="仿宋_GB2312" w:hAnsi="Times New Roman" w:eastAsia="仿宋_GB2312" w:cs="Times New Roman"/>
          <w:color w:val="000000"/>
          <w:kern w:val="2"/>
          <w:sz w:val="32"/>
          <w:szCs w:val="32"/>
          <w:highlight w:val="none"/>
          <w:lang w:val="en-US" w:eastAsia="zh-Hans" w:bidi="ar-SA"/>
        </w:rPr>
        <w:t>实际发生费用的20%给予每年最高200万元</w:t>
      </w:r>
      <w:r>
        <w:rPr>
          <w:rFonts w:hint="default" w:ascii="仿宋_GB2312" w:hAnsi="Times New Roman" w:eastAsia="仿宋_GB2312" w:cs="Times New Roman"/>
          <w:color w:val="000000"/>
          <w:kern w:val="2"/>
          <w:sz w:val="32"/>
          <w:szCs w:val="32"/>
          <w:highlight w:val="none"/>
          <w:lang w:val="en-US" w:eastAsia="zh-Hans" w:bidi="ar-SA"/>
        </w:rPr>
        <w:t>资助</w:t>
      </w:r>
      <w:r>
        <w:rPr>
          <w:rFonts w:hint="eastAsia" w:ascii="仿宋_GB2312" w:hAnsi="Times New Roman" w:eastAsia="仿宋_GB2312" w:cs="Times New Roman"/>
          <w:color w:val="000000"/>
          <w:kern w:val="2"/>
          <w:sz w:val="32"/>
          <w:szCs w:val="32"/>
          <w:highlight w:val="none"/>
          <w:lang w:val="en-US" w:eastAsia="zh-Hans" w:bidi="ar-SA"/>
        </w:rPr>
        <w:t>。</w:t>
      </w:r>
    </w:p>
    <w:p>
      <w:pPr>
        <w:pStyle w:val="11"/>
        <w:keepNext w:val="0"/>
        <w:keepLines w:val="0"/>
        <w:pageBreakBefore w:val="0"/>
        <w:widowControl w:val="0"/>
        <w:kinsoku/>
        <w:wordWrap/>
        <w:overflowPunct/>
        <w:topLinePunct w:val="0"/>
        <w:autoSpaceDE/>
        <w:autoSpaceDN/>
        <w:bidi w:val="0"/>
        <w:snapToGrid/>
        <w:spacing w:beforeAutospacing="0" w:afterAutospacing="0" w:line="560" w:lineRule="exact"/>
        <w:ind w:left="0" w:leftChars="0" w:firstLine="643" w:firstLineChars="200"/>
        <w:jc w:val="left"/>
        <w:textAlignment w:val="auto"/>
        <w:rPr>
          <w:rFonts w:hint="eastAsia" w:ascii="楷体_GB2312" w:hAnsi="楷体_GB2312" w:eastAsia="楷体_GB2312" w:cs="楷体_GB2312"/>
          <w:b/>
          <w:color w:val="auto"/>
          <w:kern w:val="2"/>
          <w:sz w:val="32"/>
          <w:szCs w:val="24"/>
          <w:highlight w:val="none"/>
          <w:lang w:bidi="ar"/>
        </w:rPr>
      </w:pPr>
      <w:r>
        <w:rPr>
          <w:rFonts w:hint="eastAsia" w:ascii="楷体_GB2312" w:hAnsi="楷体_GB2312" w:eastAsia="楷体_GB2312" w:cs="楷体_GB2312"/>
          <w:b/>
          <w:color w:val="auto"/>
          <w:kern w:val="2"/>
          <w:sz w:val="32"/>
          <w:szCs w:val="24"/>
          <w:highlight w:val="none"/>
          <w:lang w:val="en-US" w:eastAsia="zh-CN" w:bidi="ar"/>
        </w:rPr>
        <w:t xml:space="preserve">第十四条  </w:t>
      </w:r>
      <w:r>
        <w:rPr>
          <w:rFonts w:hint="eastAsia" w:ascii="楷体_GB2312" w:hAnsi="楷体_GB2312" w:eastAsia="楷体_GB2312" w:cs="楷体_GB2312"/>
          <w:b/>
          <w:color w:val="auto"/>
          <w:kern w:val="2"/>
          <w:sz w:val="32"/>
          <w:szCs w:val="24"/>
          <w:highlight w:val="none"/>
          <w:lang w:bidi="ar"/>
        </w:rPr>
        <w:t>芯片首购首用支持</w:t>
      </w:r>
    </w:p>
    <w:p>
      <w:pPr>
        <w:pStyle w:val="11"/>
        <w:keepNext w:val="0"/>
        <w:keepLines w:val="0"/>
        <w:pageBreakBefore w:val="0"/>
        <w:widowControl w:val="0"/>
        <w:kinsoku/>
        <w:wordWrap/>
        <w:overflowPunct/>
        <w:topLinePunct w:val="0"/>
        <w:autoSpaceDE/>
        <w:autoSpaceDN/>
        <w:bidi w:val="0"/>
        <w:snapToGrid/>
        <w:spacing w:beforeAutospacing="0" w:afterAutospacing="0" w:line="560" w:lineRule="exact"/>
        <w:ind w:left="0" w:leftChars="0" w:firstLine="640" w:firstLineChars="200"/>
        <w:jc w:val="left"/>
        <w:textAlignment w:val="auto"/>
        <w:rPr>
          <w:rFonts w:hint="eastAsia" w:ascii="仿宋_GB2312" w:hAnsi="Times New Roman" w:eastAsia="仿宋_GB2312" w:cs="Times New Roman"/>
          <w:color w:val="000000"/>
          <w:kern w:val="2"/>
          <w:sz w:val="32"/>
          <w:szCs w:val="32"/>
          <w:highlight w:val="none"/>
          <w:lang w:val="en-US" w:eastAsia="zh-Hans" w:bidi="ar-SA"/>
        </w:rPr>
      </w:pPr>
      <w:r>
        <w:rPr>
          <w:rFonts w:hint="eastAsia" w:ascii="仿宋_GB2312" w:hAnsi="Times New Roman" w:eastAsia="仿宋_GB2312" w:cs="Times New Roman"/>
          <w:color w:val="000000"/>
          <w:kern w:val="2"/>
          <w:sz w:val="32"/>
          <w:szCs w:val="32"/>
          <w:highlight w:val="none"/>
          <w:lang w:val="en-US" w:eastAsia="zh-Hans" w:bidi="ar-SA"/>
        </w:rPr>
        <w:t>支持本辖区整机和集成电路设计企业联动发展。对南山区整机企业首购首用本辖区集成电路设计企业自主开发的芯片，按照上一年度采购金额20%给予奖励，每家企业每年最高奖励50万元。</w:t>
      </w:r>
    </w:p>
    <w:p>
      <w:pPr>
        <w:pStyle w:val="11"/>
        <w:keepNext w:val="0"/>
        <w:keepLines w:val="0"/>
        <w:pageBreakBefore w:val="0"/>
        <w:widowControl w:val="0"/>
        <w:kinsoku/>
        <w:wordWrap/>
        <w:overflowPunct/>
        <w:topLinePunct w:val="0"/>
        <w:autoSpaceDE/>
        <w:autoSpaceDN/>
        <w:bidi w:val="0"/>
        <w:snapToGrid/>
        <w:spacing w:beforeAutospacing="0" w:afterAutospacing="0" w:line="560" w:lineRule="exact"/>
        <w:ind w:left="0" w:leftChars="0" w:firstLine="643" w:firstLineChars="200"/>
        <w:jc w:val="left"/>
        <w:textAlignment w:val="auto"/>
        <w:rPr>
          <w:rFonts w:hint="eastAsia" w:ascii="楷体_GB2312" w:hAnsi="楷体_GB2312" w:eastAsia="楷体_GB2312" w:cs="楷体_GB2312"/>
          <w:b/>
          <w:color w:val="auto"/>
          <w:kern w:val="2"/>
          <w:sz w:val="32"/>
          <w:szCs w:val="24"/>
          <w:highlight w:val="none"/>
          <w:lang w:bidi="ar"/>
        </w:rPr>
      </w:pPr>
      <w:r>
        <w:rPr>
          <w:rFonts w:hint="eastAsia" w:ascii="楷体_GB2312" w:hAnsi="楷体_GB2312" w:eastAsia="楷体_GB2312" w:cs="楷体_GB2312"/>
          <w:b/>
          <w:color w:val="auto"/>
          <w:kern w:val="2"/>
          <w:sz w:val="32"/>
          <w:szCs w:val="24"/>
          <w:highlight w:val="none"/>
          <w:lang w:bidi="ar"/>
        </w:rPr>
        <w:t>第十</w:t>
      </w:r>
      <w:r>
        <w:rPr>
          <w:rFonts w:hint="eastAsia" w:ascii="楷体_GB2312" w:hAnsi="楷体_GB2312" w:eastAsia="楷体_GB2312" w:cs="楷体_GB2312"/>
          <w:b/>
          <w:color w:val="auto"/>
          <w:kern w:val="2"/>
          <w:sz w:val="32"/>
          <w:szCs w:val="24"/>
          <w:highlight w:val="none"/>
          <w:lang w:eastAsia="zh-CN" w:bidi="ar"/>
        </w:rPr>
        <w:t>五</w:t>
      </w:r>
      <w:r>
        <w:rPr>
          <w:rFonts w:hint="eastAsia" w:ascii="楷体_GB2312" w:hAnsi="楷体_GB2312" w:eastAsia="楷体_GB2312" w:cs="楷体_GB2312"/>
          <w:b/>
          <w:color w:val="auto"/>
          <w:kern w:val="2"/>
          <w:sz w:val="32"/>
          <w:szCs w:val="24"/>
          <w:highlight w:val="none"/>
          <w:lang w:bidi="ar"/>
        </w:rPr>
        <w:t xml:space="preserve">条 </w:t>
      </w:r>
      <w:r>
        <w:rPr>
          <w:rFonts w:hint="eastAsia" w:ascii="楷体_GB2312" w:hAnsi="楷体_GB2312" w:eastAsia="楷体_GB2312" w:cs="楷体_GB2312"/>
          <w:b/>
          <w:color w:val="auto"/>
          <w:kern w:val="2"/>
          <w:sz w:val="32"/>
          <w:szCs w:val="24"/>
          <w:highlight w:val="none"/>
          <w:lang w:val="en-US" w:eastAsia="zh-CN" w:bidi="ar"/>
        </w:rPr>
        <w:t xml:space="preserve"> </w:t>
      </w:r>
      <w:r>
        <w:rPr>
          <w:rFonts w:hint="eastAsia" w:ascii="楷体_GB2312" w:hAnsi="楷体_GB2312" w:eastAsia="楷体_GB2312" w:cs="楷体_GB2312"/>
          <w:b/>
          <w:color w:val="auto"/>
          <w:kern w:val="2"/>
          <w:sz w:val="32"/>
          <w:szCs w:val="24"/>
          <w:highlight w:val="none"/>
          <w:lang w:bidi="ar"/>
        </w:rPr>
        <w:t>贷款贴息支持</w:t>
      </w:r>
    </w:p>
    <w:p>
      <w:pPr>
        <w:keepNext w:val="0"/>
        <w:keepLines w:val="0"/>
        <w:pageBreakBefore w:val="0"/>
        <w:widowControl w:val="0"/>
        <w:kinsoku/>
        <w:wordWrap/>
        <w:overflowPunct/>
        <w:topLinePunct w:val="0"/>
        <w:autoSpaceDE/>
        <w:autoSpaceDN/>
        <w:bidi w:val="0"/>
        <w:snapToGrid/>
        <w:spacing w:beforeAutospacing="0" w:afterAutospacing="0" w:line="560" w:lineRule="exact"/>
        <w:ind w:left="0" w:leftChars="0" w:firstLine="640" w:firstLineChars="200"/>
        <w:jc w:val="both"/>
        <w:textAlignment w:val="auto"/>
        <w:rPr>
          <w:rFonts w:ascii="仿宋_GB2312"/>
          <w:bCs/>
          <w:kern w:val="44"/>
          <w:szCs w:val="32"/>
          <w:highlight w:val="none"/>
        </w:rPr>
      </w:pPr>
      <w:r>
        <w:rPr>
          <w:rFonts w:hint="eastAsia" w:ascii="仿宋_GB2312"/>
          <w:bCs/>
          <w:kern w:val="44"/>
          <w:szCs w:val="32"/>
          <w:highlight w:val="none"/>
        </w:rPr>
        <w:t>对在南山科技金融在线平台完成评级及备案，并获得</w:t>
      </w:r>
      <w:r>
        <w:rPr>
          <w:rFonts w:hint="default" w:ascii="仿宋_GB2312"/>
          <w:bCs/>
          <w:kern w:val="44"/>
          <w:szCs w:val="32"/>
          <w:highlight w:val="none"/>
        </w:rPr>
        <w:t>流动资金</w:t>
      </w:r>
      <w:r>
        <w:rPr>
          <w:rFonts w:hint="eastAsia" w:ascii="仿宋_GB2312"/>
          <w:bCs/>
          <w:kern w:val="44"/>
          <w:szCs w:val="32"/>
          <w:highlight w:val="none"/>
        </w:rPr>
        <w:t>贷款且按时还款的</w:t>
      </w:r>
      <w:r>
        <w:rPr>
          <w:rFonts w:hint="default" w:ascii="仿宋_GB2312"/>
          <w:bCs/>
          <w:kern w:val="44"/>
          <w:szCs w:val="32"/>
          <w:highlight w:val="none"/>
        </w:rPr>
        <w:t>辖区内集成电路</w:t>
      </w:r>
      <w:r>
        <w:rPr>
          <w:rFonts w:hint="eastAsia" w:ascii="仿宋_GB2312"/>
          <w:bCs/>
          <w:kern w:val="44"/>
          <w:szCs w:val="32"/>
          <w:highlight w:val="none"/>
        </w:rPr>
        <w:t>企业，在平台贷款贴息额度内，按照企业实际支付利息的70%给予补贴。每家企业每年最高资助100万元。</w:t>
      </w:r>
    </w:p>
    <w:p>
      <w:pPr>
        <w:pStyle w:val="11"/>
        <w:keepNext w:val="0"/>
        <w:keepLines w:val="0"/>
        <w:pageBreakBefore w:val="0"/>
        <w:widowControl w:val="0"/>
        <w:kinsoku/>
        <w:wordWrap/>
        <w:overflowPunct/>
        <w:topLinePunct w:val="0"/>
        <w:autoSpaceDE/>
        <w:autoSpaceDN/>
        <w:bidi w:val="0"/>
        <w:snapToGrid/>
        <w:spacing w:beforeAutospacing="0" w:afterAutospacing="0" w:line="560" w:lineRule="exact"/>
        <w:ind w:left="0" w:leftChars="0" w:firstLine="643" w:firstLineChars="200"/>
        <w:jc w:val="left"/>
        <w:textAlignment w:val="auto"/>
        <w:rPr>
          <w:rFonts w:hint="eastAsia" w:ascii="楷体_GB2312" w:hAnsi="楷体_GB2312" w:eastAsia="楷体_GB2312" w:cs="楷体_GB2312"/>
          <w:b/>
          <w:color w:val="auto"/>
          <w:kern w:val="2"/>
          <w:sz w:val="32"/>
          <w:szCs w:val="24"/>
          <w:highlight w:val="none"/>
          <w:lang w:bidi="ar"/>
        </w:rPr>
      </w:pPr>
      <w:r>
        <w:rPr>
          <w:rFonts w:hint="eastAsia" w:ascii="楷体_GB2312" w:hAnsi="楷体_GB2312" w:eastAsia="楷体_GB2312" w:cs="楷体_GB2312"/>
          <w:b/>
          <w:bCs w:val="0"/>
          <w:color w:val="auto"/>
          <w:kern w:val="2"/>
          <w:sz w:val="32"/>
          <w:szCs w:val="24"/>
          <w:highlight w:val="none"/>
          <w:lang w:bidi="ar"/>
        </w:rPr>
        <w:t xml:space="preserve">第十六条 </w:t>
      </w:r>
      <w:r>
        <w:rPr>
          <w:rFonts w:hint="eastAsia" w:ascii="楷体_GB2312" w:hAnsi="楷体_GB2312" w:eastAsia="楷体_GB2312" w:cs="楷体_GB2312"/>
          <w:b/>
          <w:bCs w:val="0"/>
          <w:color w:val="auto"/>
          <w:kern w:val="2"/>
          <w:sz w:val="32"/>
          <w:szCs w:val="24"/>
          <w:highlight w:val="none"/>
          <w:lang w:val="en-US" w:eastAsia="zh-CN" w:bidi="ar"/>
        </w:rPr>
        <w:t xml:space="preserve"> </w:t>
      </w:r>
      <w:r>
        <w:rPr>
          <w:rFonts w:hint="eastAsia" w:ascii="楷体_GB2312" w:hAnsi="楷体_GB2312" w:eastAsia="楷体_GB2312" w:cs="楷体_GB2312"/>
          <w:b/>
          <w:bCs w:val="0"/>
          <w:color w:val="auto"/>
          <w:kern w:val="2"/>
          <w:sz w:val="32"/>
          <w:szCs w:val="24"/>
          <w:highlight w:val="none"/>
          <w:lang w:bidi="ar"/>
        </w:rPr>
        <w:t>创业融资支持</w:t>
      </w:r>
    </w:p>
    <w:p>
      <w:pPr>
        <w:keepNext w:val="0"/>
        <w:keepLines w:val="0"/>
        <w:pageBreakBefore w:val="0"/>
        <w:widowControl w:val="0"/>
        <w:kinsoku/>
        <w:wordWrap/>
        <w:overflowPunct/>
        <w:topLinePunct w:val="0"/>
        <w:autoSpaceDE/>
        <w:autoSpaceDN/>
        <w:bidi w:val="0"/>
        <w:snapToGrid/>
        <w:spacing w:beforeAutospacing="0" w:afterAutospacing="0" w:line="560" w:lineRule="exact"/>
        <w:ind w:left="0" w:leftChars="0" w:firstLine="640" w:firstLineChars="200"/>
        <w:jc w:val="both"/>
        <w:textAlignment w:val="auto"/>
        <w:rPr>
          <w:rFonts w:hint="default" w:ascii="仿宋_GB2312"/>
          <w:szCs w:val="32"/>
          <w:highlight w:val="none"/>
        </w:rPr>
      </w:pPr>
      <w:r>
        <w:rPr>
          <w:rFonts w:hint="eastAsia" w:ascii="仿宋_GB2312"/>
          <w:bCs/>
          <w:kern w:val="44"/>
          <w:szCs w:val="32"/>
          <w:highlight w:val="none"/>
        </w:rPr>
        <w:t>（一）</w:t>
      </w:r>
      <w:r>
        <w:rPr>
          <w:rFonts w:hint="eastAsia" w:ascii="仿宋_GB2312"/>
          <w:szCs w:val="32"/>
          <w:highlight w:val="none"/>
        </w:rPr>
        <w:t>对成立</w:t>
      </w:r>
      <w:r>
        <w:rPr>
          <w:rFonts w:ascii="仿宋_GB2312"/>
          <w:szCs w:val="32"/>
          <w:highlight w:val="none"/>
        </w:rPr>
        <w:t>5</w:t>
      </w:r>
      <w:r>
        <w:rPr>
          <w:rFonts w:hint="eastAsia" w:ascii="仿宋_GB2312"/>
          <w:szCs w:val="32"/>
          <w:highlight w:val="none"/>
        </w:rPr>
        <w:t>年以内</w:t>
      </w:r>
      <w:r>
        <w:rPr>
          <w:rFonts w:hint="eastAsia" w:ascii="仿宋_GB2312"/>
          <w:szCs w:val="32"/>
          <w:highlight w:val="none"/>
          <w:lang w:eastAsia="zh-CN"/>
        </w:rPr>
        <w:t>，</w:t>
      </w:r>
      <w:r>
        <w:rPr>
          <w:rFonts w:hint="eastAsia" w:ascii="仿宋_GB2312"/>
          <w:szCs w:val="32"/>
          <w:highlight w:val="none"/>
        </w:rPr>
        <w:t>获得投资机构</w:t>
      </w:r>
      <w:r>
        <w:rPr>
          <w:rFonts w:hint="eastAsia" w:ascii="仿宋_GB2312"/>
          <w:szCs w:val="32"/>
          <w:highlight w:val="none"/>
          <w:lang w:eastAsia="zh-CN"/>
        </w:rPr>
        <w:t>投资的</w:t>
      </w:r>
      <w:r>
        <w:rPr>
          <w:rFonts w:hint="default" w:ascii="仿宋_GB2312"/>
          <w:szCs w:val="32"/>
          <w:highlight w:val="none"/>
        </w:rPr>
        <w:t>辖区内</w:t>
      </w:r>
      <w:r>
        <w:rPr>
          <w:rFonts w:hint="eastAsia" w:ascii="仿宋_GB2312"/>
          <w:szCs w:val="32"/>
          <w:highlight w:val="none"/>
          <w:lang w:eastAsia="zh-CN"/>
        </w:rPr>
        <w:t>种子期、初创期</w:t>
      </w:r>
      <w:r>
        <w:rPr>
          <w:rFonts w:hint="default" w:ascii="仿宋_GB2312"/>
          <w:szCs w:val="32"/>
          <w:highlight w:val="none"/>
        </w:rPr>
        <w:t>集成电路设计</w:t>
      </w:r>
      <w:r>
        <w:rPr>
          <w:rFonts w:hint="eastAsia" w:ascii="仿宋_GB2312"/>
          <w:szCs w:val="32"/>
          <w:highlight w:val="none"/>
        </w:rPr>
        <w:t>企业</w:t>
      </w:r>
      <w:r>
        <w:rPr>
          <w:rFonts w:hint="eastAsia" w:ascii="仿宋_GB2312"/>
          <w:szCs w:val="32"/>
          <w:highlight w:val="none"/>
          <w:lang w:eastAsia="zh-CN"/>
        </w:rPr>
        <w:t>，</w:t>
      </w:r>
      <w:r>
        <w:rPr>
          <w:rFonts w:hint="eastAsia" w:ascii="仿宋_GB2312"/>
          <w:szCs w:val="32"/>
          <w:highlight w:val="none"/>
        </w:rPr>
        <w:t>按照其上年度获得</w:t>
      </w:r>
      <w:r>
        <w:rPr>
          <w:rFonts w:hint="eastAsia" w:ascii="仿宋_GB2312"/>
          <w:szCs w:val="32"/>
          <w:highlight w:val="none"/>
          <w:lang w:eastAsia="zh-CN"/>
        </w:rPr>
        <w:t>实际</w:t>
      </w:r>
      <w:r>
        <w:rPr>
          <w:rFonts w:hint="eastAsia" w:ascii="仿宋_GB2312"/>
          <w:szCs w:val="32"/>
          <w:highlight w:val="none"/>
        </w:rPr>
        <w:t>投资额</w:t>
      </w:r>
      <w:r>
        <w:rPr>
          <w:rFonts w:hint="default" w:ascii="仿宋_GB2312"/>
          <w:szCs w:val="32"/>
          <w:highlight w:val="none"/>
        </w:rPr>
        <w:t>最高</w:t>
      </w:r>
      <w:r>
        <w:rPr>
          <w:rFonts w:hint="eastAsia" w:ascii="仿宋_GB2312"/>
          <w:szCs w:val="32"/>
          <w:highlight w:val="none"/>
          <w:lang w:val="en-US" w:eastAsia="zh-CN"/>
        </w:rPr>
        <w:t>10</w:t>
      </w:r>
      <w:r>
        <w:rPr>
          <w:rFonts w:ascii="仿宋_GB2312"/>
          <w:szCs w:val="32"/>
          <w:highlight w:val="none"/>
        </w:rPr>
        <w:t>%</w:t>
      </w:r>
      <w:r>
        <w:rPr>
          <w:rFonts w:hint="eastAsia" w:ascii="仿宋_GB2312"/>
          <w:szCs w:val="32"/>
          <w:highlight w:val="none"/>
        </w:rPr>
        <w:t>给予资助，每家企业每年最高资助</w:t>
      </w:r>
      <w:r>
        <w:rPr>
          <w:rFonts w:ascii="仿宋_GB2312"/>
          <w:szCs w:val="32"/>
          <w:highlight w:val="none"/>
        </w:rPr>
        <w:t>300</w:t>
      </w:r>
      <w:r>
        <w:rPr>
          <w:rFonts w:hint="eastAsia" w:ascii="仿宋_GB2312"/>
          <w:szCs w:val="32"/>
          <w:highlight w:val="none"/>
        </w:rPr>
        <w:t>万元</w:t>
      </w:r>
      <w:r>
        <w:rPr>
          <w:rFonts w:hint="default" w:ascii="仿宋_GB2312"/>
          <w:szCs w:val="32"/>
          <w:highlight w:val="none"/>
        </w:rPr>
        <w:t>。</w:t>
      </w:r>
    </w:p>
    <w:p>
      <w:pPr>
        <w:keepNext w:val="0"/>
        <w:keepLines w:val="0"/>
        <w:pageBreakBefore w:val="0"/>
        <w:widowControl w:val="0"/>
        <w:kinsoku/>
        <w:wordWrap/>
        <w:overflowPunct/>
        <w:topLinePunct w:val="0"/>
        <w:autoSpaceDE/>
        <w:autoSpaceDN/>
        <w:bidi w:val="0"/>
        <w:snapToGrid/>
        <w:spacing w:beforeAutospacing="0" w:afterAutospacing="0" w:line="560" w:lineRule="exact"/>
        <w:ind w:left="0" w:leftChars="0" w:firstLine="640" w:firstLineChars="200"/>
        <w:jc w:val="both"/>
        <w:textAlignment w:val="auto"/>
        <w:rPr>
          <w:rFonts w:ascii="仿宋_GB2312"/>
          <w:bCs/>
          <w:kern w:val="44"/>
          <w:szCs w:val="32"/>
          <w:highlight w:val="none"/>
        </w:rPr>
      </w:pPr>
      <w:r>
        <w:rPr>
          <w:rFonts w:hint="eastAsia" w:ascii="仿宋_GB2312"/>
          <w:bCs/>
          <w:kern w:val="44"/>
          <w:szCs w:val="32"/>
          <w:highlight w:val="none"/>
        </w:rPr>
        <w:t>（二）对成立5年以内，近3年累计获得投资机构1亿元以上投资额的</w:t>
      </w:r>
      <w:r>
        <w:rPr>
          <w:rFonts w:hint="default" w:ascii="仿宋_GB2312"/>
          <w:szCs w:val="32"/>
          <w:highlight w:val="none"/>
        </w:rPr>
        <w:t>辖区内</w:t>
      </w:r>
      <w:r>
        <w:rPr>
          <w:rFonts w:hint="eastAsia" w:ascii="仿宋_GB2312"/>
          <w:bCs/>
          <w:kern w:val="44"/>
          <w:szCs w:val="32"/>
          <w:highlight w:val="none"/>
        </w:rPr>
        <w:t>高成长集成电路企业，给予一次性100万元资助。</w:t>
      </w:r>
    </w:p>
    <w:p>
      <w:pPr>
        <w:keepNext w:val="0"/>
        <w:keepLines w:val="0"/>
        <w:pageBreakBefore w:val="0"/>
        <w:widowControl w:val="0"/>
        <w:kinsoku/>
        <w:wordWrap/>
        <w:overflowPunct/>
        <w:topLinePunct w:val="0"/>
        <w:autoSpaceDE/>
        <w:autoSpaceDN/>
        <w:bidi w:val="0"/>
        <w:snapToGrid/>
        <w:spacing w:beforeAutospacing="0" w:afterAutospacing="0" w:line="560" w:lineRule="exact"/>
        <w:ind w:left="0" w:leftChars="0" w:firstLine="640" w:firstLineChars="200"/>
        <w:jc w:val="both"/>
        <w:textAlignment w:val="auto"/>
        <w:rPr>
          <w:rFonts w:hint="eastAsia" w:ascii="仿宋_GB2312" w:hAnsi="Times New Roman" w:cs="Times New Roman"/>
          <w:bCs/>
          <w:kern w:val="44"/>
          <w:szCs w:val="32"/>
          <w:highlight w:val="none"/>
        </w:rPr>
      </w:pPr>
      <w:r>
        <w:rPr>
          <w:rFonts w:hint="eastAsia" w:ascii="仿宋_GB2312" w:hAnsi="Times New Roman" w:cs="Times New Roman"/>
          <w:bCs/>
          <w:kern w:val="44"/>
          <w:szCs w:val="32"/>
          <w:highlight w:val="none"/>
        </w:rPr>
        <w:t>获得</w:t>
      </w:r>
      <w:r>
        <w:rPr>
          <w:rFonts w:hint="default" w:ascii="仿宋_GB2312" w:hAnsi="Times New Roman" w:cs="Times New Roman"/>
          <w:bCs/>
          <w:kern w:val="44"/>
          <w:szCs w:val="32"/>
          <w:highlight w:val="none"/>
        </w:rPr>
        <w:t>本条</w:t>
      </w:r>
      <w:r>
        <w:rPr>
          <w:rFonts w:hint="eastAsia" w:ascii="仿宋_GB2312" w:hAnsi="Times New Roman" w:cs="Times New Roman"/>
          <w:bCs/>
          <w:kern w:val="44"/>
          <w:szCs w:val="32"/>
          <w:highlight w:val="none"/>
        </w:rPr>
        <w:t>两点政策支持的企业当年可在南山科技金融在线平台申请贷款贴息额度20%的提升。</w:t>
      </w:r>
    </w:p>
    <w:p>
      <w:pPr>
        <w:keepNext w:val="0"/>
        <w:keepLines w:val="0"/>
        <w:pageBreakBefore w:val="0"/>
        <w:widowControl w:val="0"/>
        <w:kinsoku/>
        <w:wordWrap/>
        <w:overflowPunct/>
        <w:topLinePunct w:val="0"/>
        <w:autoSpaceDE/>
        <w:autoSpaceDN/>
        <w:bidi w:val="0"/>
        <w:snapToGrid/>
        <w:spacing w:beforeAutospacing="0" w:afterAutospacing="0" w:line="560" w:lineRule="exact"/>
        <w:ind w:left="0" w:leftChars="0" w:firstLine="640" w:firstLineChars="200"/>
        <w:contextualSpacing/>
        <w:jc w:val="both"/>
        <w:textAlignment w:val="auto"/>
        <w:rPr>
          <w:rFonts w:ascii="仿宋_GB2312"/>
          <w:szCs w:val="32"/>
          <w:highlight w:val="none"/>
        </w:rPr>
      </w:pPr>
      <w:r>
        <w:rPr>
          <w:rFonts w:hint="default" w:ascii="仿宋_GB2312"/>
          <w:szCs w:val="32"/>
          <w:highlight w:val="none"/>
        </w:rPr>
        <w:t>本条</w:t>
      </w:r>
      <w:r>
        <w:rPr>
          <w:rFonts w:hint="eastAsia" w:ascii="仿宋_GB2312"/>
          <w:szCs w:val="32"/>
          <w:highlight w:val="none"/>
        </w:rPr>
        <w:t>两点政策所指投资机构为</w:t>
      </w:r>
      <w:r>
        <w:rPr>
          <w:rFonts w:hint="eastAsia" w:ascii="仿宋_GB2312"/>
          <w:szCs w:val="32"/>
          <w:highlight w:val="none"/>
          <w:lang w:eastAsia="zh-CN"/>
        </w:rPr>
        <w:t>区级（含）以上政府</w:t>
      </w:r>
      <w:r>
        <w:rPr>
          <w:rFonts w:hint="eastAsia" w:ascii="仿宋_GB2312"/>
          <w:szCs w:val="32"/>
          <w:highlight w:val="none"/>
        </w:rPr>
        <w:t>股权投资平台，或</w:t>
      </w:r>
      <w:r>
        <w:rPr>
          <w:rFonts w:hint="eastAsia" w:ascii="仿宋_GB2312"/>
          <w:szCs w:val="32"/>
          <w:highlight w:val="none"/>
          <w:lang w:eastAsia="zh-CN"/>
        </w:rPr>
        <w:t>位居</w:t>
      </w:r>
      <w:r>
        <w:rPr>
          <w:rFonts w:hint="eastAsia" w:ascii="仿宋_GB2312"/>
          <w:szCs w:val="32"/>
          <w:highlight w:val="none"/>
        </w:rPr>
        <w:t>上年度清科排名</w:t>
      </w:r>
      <w:r>
        <w:rPr>
          <w:rFonts w:hint="eastAsia" w:ascii="仿宋_GB2312"/>
          <w:szCs w:val="32"/>
          <w:highlight w:val="none"/>
          <w:lang w:eastAsia="zh-CN"/>
        </w:rPr>
        <w:t>总榜单</w:t>
      </w:r>
      <w:r>
        <w:rPr>
          <w:rFonts w:hint="eastAsia" w:ascii="仿宋_GB2312"/>
          <w:szCs w:val="32"/>
          <w:highlight w:val="none"/>
        </w:rPr>
        <w:t>的投资机构。</w:t>
      </w:r>
    </w:p>
    <w:p>
      <w:pPr>
        <w:keepNext w:val="0"/>
        <w:keepLines w:val="0"/>
        <w:pageBreakBefore w:val="0"/>
        <w:widowControl w:val="0"/>
        <w:kinsoku/>
        <w:wordWrap/>
        <w:overflowPunct/>
        <w:topLinePunct w:val="0"/>
        <w:autoSpaceDE/>
        <w:autoSpaceDN/>
        <w:bidi w:val="0"/>
        <w:snapToGrid/>
        <w:spacing w:beforeAutospacing="0" w:afterAutospacing="0" w:line="560" w:lineRule="exact"/>
        <w:ind w:left="0" w:leftChars="0" w:firstLine="640" w:firstLineChars="200"/>
        <w:jc w:val="both"/>
        <w:textAlignment w:val="auto"/>
        <w:rPr>
          <w:rFonts w:ascii="仿宋_GB2312"/>
          <w:bCs/>
          <w:kern w:val="44"/>
          <w:szCs w:val="32"/>
          <w:highlight w:val="none"/>
        </w:rPr>
      </w:pPr>
      <w:r>
        <w:rPr>
          <w:rFonts w:hint="eastAsia" w:ascii="仿宋_GB2312"/>
          <w:szCs w:val="32"/>
          <w:highlight w:val="none"/>
        </w:rPr>
        <w:t>同一家企业同一年度均符合本</w:t>
      </w:r>
      <w:r>
        <w:rPr>
          <w:rFonts w:hint="default" w:ascii="仿宋_GB2312"/>
          <w:szCs w:val="32"/>
          <w:highlight w:val="none"/>
        </w:rPr>
        <w:t>条</w:t>
      </w:r>
      <w:r>
        <w:rPr>
          <w:rFonts w:hint="eastAsia" w:ascii="仿宋_GB2312"/>
          <w:szCs w:val="32"/>
          <w:highlight w:val="none"/>
        </w:rPr>
        <w:t>两点政策，按照就高不就低原则，不重复支持</w:t>
      </w:r>
      <w:r>
        <w:rPr>
          <w:rFonts w:hint="eastAsia" w:ascii="仿宋_GB2312"/>
          <w:bCs/>
          <w:kern w:val="44"/>
          <w:szCs w:val="32"/>
          <w:highlight w:val="none"/>
        </w:rPr>
        <w:t>。</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left"/>
        <w:textAlignment w:val="auto"/>
        <w:rPr>
          <w:rFonts w:hint="eastAsia" w:ascii="楷体_GB2312" w:hAnsi="楷体_GB2312" w:eastAsia="楷体_GB2312" w:cs="楷体_GB2312"/>
          <w:b/>
          <w:bCs w:val="0"/>
          <w:color w:val="auto"/>
          <w:kern w:val="2"/>
          <w:sz w:val="32"/>
          <w:szCs w:val="24"/>
          <w:highlight w:val="none"/>
          <w:lang w:bidi="ar"/>
        </w:rPr>
      </w:pPr>
      <w:r>
        <w:rPr>
          <w:rFonts w:hint="eastAsia" w:ascii="楷体_GB2312" w:hAnsi="楷体_GB2312" w:eastAsia="楷体_GB2312" w:cs="楷体_GB2312"/>
          <w:b/>
          <w:bCs w:val="0"/>
          <w:color w:val="auto"/>
          <w:kern w:val="2"/>
          <w:sz w:val="32"/>
          <w:szCs w:val="24"/>
          <w:highlight w:val="none"/>
          <w:lang w:bidi="ar"/>
        </w:rPr>
        <w:t>第十</w:t>
      </w:r>
      <w:r>
        <w:rPr>
          <w:rFonts w:hint="eastAsia" w:ascii="楷体_GB2312" w:hAnsi="楷体_GB2312" w:eastAsia="楷体_GB2312" w:cs="楷体_GB2312"/>
          <w:b/>
          <w:bCs w:val="0"/>
          <w:color w:val="auto"/>
          <w:kern w:val="2"/>
          <w:sz w:val="32"/>
          <w:szCs w:val="24"/>
          <w:highlight w:val="none"/>
          <w:lang w:eastAsia="zh-CN" w:bidi="ar"/>
        </w:rPr>
        <w:t>七</w:t>
      </w:r>
      <w:r>
        <w:rPr>
          <w:rFonts w:hint="eastAsia" w:ascii="楷体_GB2312" w:hAnsi="楷体_GB2312" w:eastAsia="楷体_GB2312" w:cs="楷体_GB2312"/>
          <w:b/>
          <w:bCs w:val="0"/>
          <w:color w:val="auto"/>
          <w:kern w:val="2"/>
          <w:sz w:val="32"/>
          <w:szCs w:val="24"/>
          <w:highlight w:val="none"/>
          <w:lang w:bidi="ar"/>
        </w:rPr>
        <w:t xml:space="preserve">条 </w:t>
      </w:r>
      <w:r>
        <w:rPr>
          <w:rFonts w:hint="eastAsia" w:ascii="楷体_GB2312" w:hAnsi="楷体_GB2312" w:eastAsia="楷体_GB2312" w:cs="楷体_GB2312"/>
          <w:b/>
          <w:bCs w:val="0"/>
          <w:color w:val="auto"/>
          <w:kern w:val="2"/>
          <w:sz w:val="32"/>
          <w:szCs w:val="24"/>
          <w:highlight w:val="none"/>
          <w:lang w:val="en-US" w:eastAsia="zh-CN" w:bidi="ar"/>
        </w:rPr>
        <w:t xml:space="preserve"> </w:t>
      </w:r>
      <w:r>
        <w:rPr>
          <w:rFonts w:hint="eastAsia" w:ascii="楷体_GB2312" w:hAnsi="楷体_GB2312" w:eastAsia="楷体_GB2312" w:cs="楷体_GB2312"/>
          <w:b/>
          <w:bCs w:val="0"/>
          <w:color w:val="auto"/>
          <w:kern w:val="2"/>
          <w:sz w:val="32"/>
          <w:szCs w:val="24"/>
          <w:highlight w:val="none"/>
          <w:lang w:bidi="ar"/>
        </w:rPr>
        <w:t>高端项目并购支持</w:t>
      </w:r>
    </w:p>
    <w:p>
      <w:pPr>
        <w:keepNext w:val="0"/>
        <w:keepLines w:val="0"/>
        <w:pageBreakBefore w:val="0"/>
        <w:widowControl w:val="0"/>
        <w:kinsoku/>
        <w:wordWrap/>
        <w:overflowPunct/>
        <w:topLinePunct w:val="0"/>
        <w:autoSpaceDE/>
        <w:autoSpaceDN/>
        <w:bidi w:val="0"/>
        <w:snapToGrid/>
        <w:spacing w:beforeAutospacing="0" w:afterAutospacing="0" w:line="560" w:lineRule="exact"/>
        <w:ind w:left="0" w:leftChars="0" w:firstLine="640" w:firstLineChars="200"/>
        <w:contextualSpacing/>
        <w:jc w:val="both"/>
        <w:textAlignment w:val="auto"/>
        <w:rPr>
          <w:rFonts w:hint="eastAsia" w:ascii="仿宋_GB2312" w:hAnsi="Times New Roman" w:cs="Times New Roman"/>
          <w:szCs w:val="32"/>
          <w:highlight w:val="none"/>
        </w:rPr>
      </w:pPr>
      <w:r>
        <w:rPr>
          <w:rFonts w:hint="eastAsia" w:ascii="仿宋_GB2312" w:hAnsi="Times New Roman" w:cs="Times New Roman"/>
          <w:szCs w:val="32"/>
          <w:highlight w:val="none"/>
        </w:rPr>
        <w:t>鼓励辖区企业并购国内外集成电路领域高端项目，对并购规模1亿元以上高端项目的企业，按照并购金额的5%给予奖励，每个项目最高奖励2000万元。</w:t>
      </w:r>
    </w:p>
    <w:p>
      <w:pPr>
        <w:pStyle w:val="11"/>
        <w:keepNext w:val="0"/>
        <w:keepLines w:val="0"/>
        <w:pageBreakBefore w:val="0"/>
        <w:widowControl w:val="0"/>
        <w:wordWrap/>
        <w:topLinePunct w:val="0"/>
        <w:bidi w:val="0"/>
        <w:spacing w:beforeAutospacing="0" w:afterAutospacing="0" w:line="560" w:lineRule="exact"/>
        <w:ind w:left="0" w:leftChars="0" w:firstLine="643"/>
        <w:jc w:val="left"/>
        <w:rPr>
          <w:rFonts w:hint="eastAsia" w:ascii="楷体_GB2312" w:hAnsi="楷体_GB2312" w:eastAsia="楷体_GB2312" w:cs="楷体_GB2312"/>
          <w:b/>
          <w:color w:val="auto"/>
          <w:kern w:val="2"/>
          <w:sz w:val="32"/>
          <w:szCs w:val="24"/>
          <w:highlight w:val="none"/>
          <w:lang w:bidi="ar"/>
        </w:rPr>
      </w:pPr>
      <w:r>
        <w:rPr>
          <w:rFonts w:hint="eastAsia" w:ascii="楷体_GB2312" w:hAnsi="楷体_GB2312" w:eastAsia="楷体_GB2312" w:cs="楷体_GB2312"/>
          <w:b/>
          <w:color w:val="auto"/>
          <w:kern w:val="2"/>
          <w:sz w:val="32"/>
          <w:szCs w:val="24"/>
          <w:highlight w:val="none"/>
          <w:lang w:bidi="ar"/>
        </w:rPr>
        <w:t xml:space="preserve">第十八条 </w:t>
      </w:r>
      <w:r>
        <w:rPr>
          <w:rFonts w:hint="eastAsia" w:ascii="楷体_GB2312" w:hAnsi="楷体_GB2312" w:eastAsia="楷体_GB2312" w:cs="楷体_GB2312"/>
          <w:b/>
          <w:color w:val="auto"/>
          <w:kern w:val="2"/>
          <w:sz w:val="32"/>
          <w:szCs w:val="24"/>
          <w:highlight w:val="none"/>
          <w:lang w:val="en-US" w:eastAsia="zh-CN" w:bidi="ar"/>
        </w:rPr>
        <w:t xml:space="preserve"> </w:t>
      </w:r>
      <w:r>
        <w:rPr>
          <w:rFonts w:hint="eastAsia" w:ascii="楷体_GB2312" w:hAnsi="楷体_GB2312" w:eastAsia="楷体_GB2312" w:cs="楷体_GB2312"/>
          <w:b/>
          <w:bCs w:val="0"/>
          <w:color w:val="auto"/>
          <w:kern w:val="2"/>
          <w:sz w:val="32"/>
          <w:szCs w:val="24"/>
          <w:highlight w:val="none"/>
          <w:lang w:val="en-US" w:eastAsia="zh-CN" w:bidi="ar"/>
        </w:rPr>
        <w:t>特别重大项目支持</w:t>
      </w:r>
    </w:p>
    <w:p>
      <w:pPr>
        <w:keepNext w:val="0"/>
        <w:keepLines w:val="0"/>
        <w:pageBreakBefore w:val="0"/>
        <w:widowControl w:val="0"/>
        <w:wordWrap/>
        <w:topLinePunct w:val="0"/>
        <w:bidi w:val="0"/>
        <w:spacing w:beforeAutospacing="0" w:afterAutospacing="0" w:line="560" w:lineRule="exact"/>
        <w:ind w:left="0" w:leftChars="0" w:firstLine="640" w:firstLineChars="200"/>
        <w:rPr>
          <w:rFonts w:hint="eastAsia" w:ascii="仿宋_GB2312"/>
          <w:bCs/>
          <w:kern w:val="44"/>
          <w:szCs w:val="32"/>
          <w:highlight w:val="none"/>
        </w:rPr>
      </w:pPr>
      <w:r>
        <w:rPr>
          <w:rFonts w:ascii="仿宋_GB2312" w:hAnsi="宋体" w:cstheme="minorBidi"/>
          <w:bCs/>
          <w:szCs w:val="32"/>
          <w:highlight w:val="none"/>
        </w:rPr>
        <w:t>对</w:t>
      </w:r>
      <w:r>
        <w:rPr>
          <w:rFonts w:hint="eastAsia" w:ascii="仿宋_GB2312" w:hAnsi="宋体" w:cstheme="minorBidi"/>
          <w:bCs/>
          <w:szCs w:val="32"/>
          <w:highlight w:val="none"/>
        </w:rPr>
        <w:t>符合</w:t>
      </w:r>
      <w:r>
        <w:rPr>
          <w:rFonts w:ascii="仿宋_GB2312" w:hAnsi="宋体" w:cstheme="minorBidi"/>
          <w:bCs/>
          <w:szCs w:val="32"/>
          <w:highlight w:val="none"/>
        </w:rPr>
        <w:t>南山区战略</w:t>
      </w:r>
      <w:r>
        <w:rPr>
          <w:rFonts w:hint="eastAsia" w:ascii="仿宋_GB2312" w:hAnsi="宋体" w:cstheme="minorBidi"/>
          <w:bCs/>
          <w:szCs w:val="32"/>
          <w:highlight w:val="none"/>
        </w:rPr>
        <w:t>布</w:t>
      </w:r>
      <w:r>
        <w:rPr>
          <w:rFonts w:ascii="仿宋_GB2312" w:hAnsi="宋体" w:cstheme="minorBidi"/>
          <w:bCs/>
          <w:szCs w:val="32"/>
          <w:highlight w:val="none"/>
        </w:rPr>
        <w:t>局</w:t>
      </w:r>
      <w:r>
        <w:rPr>
          <w:rFonts w:hint="eastAsia" w:ascii="仿宋_GB2312" w:hAnsi="宋体" w:cstheme="minorBidi"/>
          <w:bCs/>
          <w:szCs w:val="32"/>
          <w:highlight w:val="none"/>
        </w:rPr>
        <w:t>，</w:t>
      </w:r>
      <w:r>
        <w:rPr>
          <w:rFonts w:ascii="仿宋_GB2312" w:hAnsi="宋体" w:cstheme="minorBidi"/>
          <w:bCs/>
          <w:szCs w:val="32"/>
          <w:highlight w:val="none"/>
        </w:rPr>
        <w:t>具有科技创新支撑作用的重大</w:t>
      </w:r>
      <w:r>
        <w:rPr>
          <w:rFonts w:hint="default" w:ascii="仿宋_GB2312" w:hAnsi="宋体" w:cstheme="minorBidi"/>
          <w:bCs/>
          <w:szCs w:val="32"/>
          <w:highlight w:val="none"/>
        </w:rPr>
        <w:t>集成电路产业</w:t>
      </w:r>
      <w:r>
        <w:rPr>
          <w:rFonts w:ascii="仿宋_GB2312" w:hAnsi="宋体" w:cstheme="minorBidi"/>
          <w:bCs/>
          <w:szCs w:val="32"/>
          <w:highlight w:val="none"/>
        </w:rPr>
        <w:t>创新项目</w:t>
      </w:r>
      <w:r>
        <w:rPr>
          <w:rFonts w:hint="eastAsia" w:ascii="仿宋_GB2312" w:hAnsi="宋体" w:cstheme="minorBidi"/>
          <w:bCs/>
          <w:szCs w:val="32"/>
          <w:highlight w:val="none"/>
        </w:rPr>
        <w:t>，</w:t>
      </w:r>
      <w:r>
        <w:rPr>
          <w:rFonts w:ascii="仿宋_GB2312" w:hAnsi="宋体" w:cstheme="minorBidi"/>
          <w:bCs/>
          <w:szCs w:val="32"/>
          <w:highlight w:val="none"/>
        </w:rPr>
        <w:t>报区</w:t>
      </w:r>
      <w:r>
        <w:rPr>
          <w:rFonts w:hint="eastAsia" w:ascii="仿宋_GB2312" w:hAnsi="宋体" w:cstheme="minorBidi"/>
          <w:bCs/>
          <w:szCs w:val="32"/>
          <w:highlight w:val="none"/>
        </w:rPr>
        <w:t>政府采用“一事一议”方式予以</w:t>
      </w:r>
      <w:r>
        <w:rPr>
          <w:rFonts w:ascii="仿宋_GB2312" w:hAnsi="宋体" w:cstheme="minorBidi"/>
          <w:bCs/>
          <w:szCs w:val="32"/>
          <w:highlight w:val="none"/>
        </w:rPr>
        <w:t>审定</w:t>
      </w:r>
      <w:r>
        <w:rPr>
          <w:rFonts w:hint="eastAsia" w:ascii="仿宋_GB2312" w:hAnsi="宋体" w:cstheme="minorBidi"/>
          <w:bCs/>
          <w:szCs w:val="32"/>
          <w:highlight w:val="none"/>
        </w:rPr>
        <w:t>支持。</w:t>
      </w:r>
    </w:p>
    <w:p>
      <w:pPr>
        <w:keepNext w:val="0"/>
        <w:keepLines w:val="0"/>
        <w:pageBreakBefore w:val="0"/>
        <w:widowControl w:val="0"/>
        <w:wordWrap/>
        <w:topLinePunct w:val="0"/>
        <w:bidi w:val="0"/>
        <w:spacing w:beforeAutospacing="0" w:afterAutospacing="0" w:line="560" w:lineRule="exact"/>
        <w:ind w:left="0" w:leftChars="0" w:firstLine="643" w:firstLineChars="200"/>
        <w:rPr>
          <w:rFonts w:hint="eastAsia" w:ascii="黑体" w:hAnsi="黑体" w:eastAsia="黑体"/>
          <w:color w:val="000000"/>
          <w:szCs w:val="32"/>
          <w:highlight w:val="none"/>
        </w:rPr>
      </w:pPr>
      <w:r>
        <w:rPr>
          <w:rFonts w:hint="eastAsia" w:ascii="楷体_GB2312" w:hAnsi="楷体_GB2312" w:eastAsia="楷体_GB2312" w:cs="楷体_GB2312"/>
          <w:b/>
          <w:bCs w:val="0"/>
          <w:color w:val="auto"/>
          <w:kern w:val="2"/>
          <w:sz w:val="32"/>
          <w:szCs w:val="24"/>
          <w:highlight w:val="none"/>
          <w:lang w:bidi="ar"/>
        </w:rPr>
        <w:t>第十</w:t>
      </w:r>
      <w:r>
        <w:rPr>
          <w:rFonts w:hint="eastAsia" w:ascii="楷体_GB2312" w:hAnsi="楷体_GB2312" w:eastAsia="楷体_GB2312" w:cs="楷体_GB2312"/>
          <w:b/>
          <w:bCs w:val="0"/>
          <w:color w:val="auto"/>
          <w:kern w:val="2"/>
          <w:sz w:val="32"/>
          <w:szCs w:val="24"/>
          <w:highlight w:val="none"/>
          <w:lang w:eastAsia="zh-CN" w:bidi="ar"/>
        </w:rPr>
        <w:t>九</w:t>
      </w:r>
      <w:r>
        <w:rPr>
          <w:rFonts w:hint="eastAsia" w:ascii="楷体_GB2312" w:hAnsi="楷体_GB2312" w:eastAsia="楷体_GB2312" w:cs="楷体_GB2312"/>
          <w:b/>
          <w:bCs w:val="0"/>
          <w:color w:val="auto"/>
          <w:kern w:val="2"/>
          <w:sz w:val="32"/>
          <w:szCs w:val="24"/>
          <w:highlight w:val="none"/>
          <w:lang w:bidi="ar"/>
        </w:rPr>
        <w:t xml:space="preserve">条 </w:t>
      </w:r>
      <w:r>
        <w:rPr>
          <w:rFonts w:hint="eastAsia" w:ascii="黑体" w:hAnsi="黑体" w:eastAsia="黑体" w:cs="黑体"/>
          <w:bCs/>
          <w:kern w:val="44"/>
          <w:sz w:val="32"/>
          <w:szCs w:val="32"/>
          <w:highlight w:val="none"/>
          <w:lang w:val="en-US" w:eastAsia="zh-CN"/>
        </w:rPr>
        <w:t xml:space="preserve"> </w:t>
      </w:r>
      <w:r>
        <w:rPr>
          <w:rFonts w:hint="eastAsia" w:ascii="仿宋_GB2312" w:hAnsi="Times New Roman" w:eastAsia="仿宋_GB2312"/>
          <w:bCs/>
          <w:kern w:val="44"/>
          <w:sz w:val="32"/>
          <w:szCs w:val="32"/>
          <w:highlight w:val="none"/>
        </w:rPr>
        <w:t>本措施自发布之日起施行，</w:t>
      </w:r>
      <w:r>
        <w:rPr>
          <w:rFonts w:hint="default" w:ascii="仿宋_GB2312" w:hAnsi="Times New Roman" w:eastAsia="仿宋_GB2312"/>
          <w:bCs/>
          <w:kern w:val="44"/>
          <w:sz w:val="32"/>
          <w:szCs w:val="32"/>
          <w:highlight w:val="none"/>
        </w:rPr>
        <w:t>有效期</w:t>
      </w:r>
      <w:r>
        <w:rPr>
          <w:rFonts w:hint="eastAsia" w:ascii="仿宋_GB2312"/>
          <w:bCs/>
          <w:kern w:val="44"/>
          <w:sz w:val="32"/>
          <w:szCs w:val="32"/>
          <w:highlight w:val="none"/>
          <w:lang w:eastAsia="zh-CN"/>
        </w:rPr>
        <w:t>三</w:t>
      </w:r>
      <w:r>
        <w:rPr>
          <w:rFonts w:hint="default" w:ascii="仿宋_GB2312" w:hAnsi="Times New Roman" w:eastAsia="仿宋_GB2312"/>
          <w:bCs/>
          <w:kern w:val="44"/>
          <w:sz w:val="32"/>
          <w:szCs w:val="32"/>
          <w:highlight w:val="none"/>
        </w:rPr>
        <w:t>年</w:t>
      </w:r>
      <w:r>
        <w:rPr>
          <w:rFonts w:hint="eastAsia" w:ascii="仿宋_GB2312" w:hAnsi="Times New Roman" w:eastAsia="仿宋_GB2312"/>
          <w:bCs/>
          <w:kern w:val="44"/>
          <w:sz w:val="32"/>
          <w:szCs w:val="32"/>
          <w:highlight w:val="none"/>
        </w:rPr>
        <w:t>，由区科技创新局负责解释。</w:t>
      </w:r>
      <w:r>
        <w:rPr>
          <w:rFonts w:hint="eastAsia" w:ascii="仿宋_GB2312" w:hAnsi="Times New Roman" w:eastAsia="仿宋_GB2312"/>
          <w:bCs/>
          <w:kern w:val="44"/>
          <w:sz w:val="32"/>
          <w:szCs w:val="32"/>
          <w:highlight w:val="none"/>
          <w:lang w:val="en-US" w:eastAsia="zh-CN"/>
        </w:rPr>
        <w:t>本措施与我区其它同类</w:t>
      </w:r>
      <w:r>
        <w:rPr>
          <w:rFonts w:hint="default" w:ascii="仿宋_GB2312" w:hAnsi="Times New Roman" w:eastAsia="仿宋_GB2312"/>
          <w:bCs/>
          <w:kern w:val="44"/>
          <w:sz w:val="32"/>
          <w:szCs w:val="32"/>
          <w:highlight w:val="none"/>
          <w:lang w:eastAsia="zh-CN"/>
        </w:rPr>
        <w:t>扶持</w:t>
      </w:r>
      <w:r>
        <w:rPr>
          <w:rFonts w:hint="eastAsia" w:ascii="仿宋_GB2312" w:hAnsi="Times New Roman" w:eastAsia="仿宋_GB2312"/>
          <w:bCs/>
          <w:kern w:val="44"/>
          <w:sz w:val="32"/>
          <w:szCs w:val="32"/>
          <w:highlight w:val="none"/>
          <w:lang w:val="en-US" w:eastAsia="zh-CN"/>
        </w:rPr>
        <w:t>措施，由企业按照就高不就低的原则选择适用，不重复资助，所需资金从科技创新资金中列支。执行期间如遇国家、省、市有关政策调整的，根据新政策做相应调整。</w:t>
      </w:r>
    </w:p>
    <w:p>
      <w:pPr>
        <w:pStyle w:val="12"/>
        <w:keepNext w:val="0"/>
        <w:keepLines w:val="0"/>
        <w:pageBreakBefore w:val="0"/>
        <w:widowControl w:val="0"/>
        <w:wordWrap/>
        <w:topLinePunct w:val="0"/>
        <w:bidi w:val="0"/>
        <w:spacing w:beforeAutospacing="0" w:after="0" w:afterAutospacing="0" w:line="560" w:lineRule="exact"/>
        <w:ind w:left="0" w:leftChars="0" w:firstLine="643" w:firstLineChars="200"/>
        <w:rPr>
          <w:rFonts w:hint="eastAsia" w:ascii="仿宋_GB2312" w:hAnsi="Times New Roman" w:eastAsia="仿宋_GB2312" w:cs="Times New Roman"/>
          <w:bCs/>
          <w:kern w:val="44"/>
          <w:sz w:val="32"/>
          <w:szCs w:val="32"/>
          <w:highlight w:val="none"/>
          <w:lang w:val="en-US" w:eastAsia="zh-CN" w:bidi="ar-SA"/>
        </w:rPr>
      </w:pPr>
      <w:r>
        <w:rPr>
          <w:rFonts w:hint="eastAsia" w:ascii="楷体_GB2312" w:hAnsi="楷体_GB2312" w:eastAsia="楷体_GB2312" w:cs="楷体_GB2312"/>
          <w:b/>
          <w:bCs w:val="0"/>
          <w:color w:val="auto"/>
          <w:kern w:val="2"/>
          <w:sz w:val="32"/>
          <w:szCs w:val="24"/>
          <w:highlight w:val="none"/>
          <w:lang w:val="en-US" w:eastAsia="zh-CN" w:bidi="ar"/>
        </w:rPr>
        <w:t xml:space="preserve">第二十条  </w:t>
      </w:r>
      <w:r>
        <w:rPr>
          <w:rFonts w:hint="eastAsia" w:ascii="仿宋_GB2312" w:hAnsi="Times New Roman" w:eastAsia="仿宋_GB2312" w:cs="Times New Roman"/>
          <w:bCs/>
          <w:kern w:val="44"/>
          <w:sz w:val="32"/>
          <w:szCs w:val="32"/>
          <w:highlight w:val="none"/>
          <w:lang w:val="en-US" w:eastAsia="zh-CN" w:bidi="ar-SA"/>
        </w:rPr>
        <w:t>本措施由区科技创新局负责解释，制定与本措施相关的操作规程。</w:t>
      </w:r>
    </w:p>
    <w:p>
      <w:pPr>
        <w:pStyle w:val="12"/>
        <w:keepNext w:val="0"/>
        <w:keepLines w:val="0"/>
        <w:pageBreakBefore w:val="0"/>
        <w:widowControl w:val="0"/>
        <w:wordWrap/>
        <w:topLinePunct w:val="0"/>
        <w:bidi w:val="0"/>
        <w:spacing w:beforeAutospacing="0" w:after="0" w:afterAutospacing="0" w:line="560" w:lineRule="exact"/>
        <w:ind w:left="0" w:leftChars="0" w:firstLine="640" w:firstLineChars="200"/>
        <w:rPr>
          <w:rFonts w:hint="eastAsia" w:ascii="仿宋_GB2312" w:hAnsi="Times New Roman" w:eastAsia="仿宋_GB2312" w:cs="Times New Roman"/>
          <w:bCs/>
          <w:kern w:val="44"/>
          <w:sz w:val="32"/>
          <w:szCs w:val="32"/>
          <w:highlight w:val="none"/>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firstLine="640" w:firstLineChars="200"/>
        <w:rPr>
          <w:rFonts w:hint="eastAsia" w:ascii="仿宋_GB2312" w:hAnsi="Times New Roman" w:eastAsia="仿宋_GB2312" w:cs="Times New Roman"/>
          <w:bCs/>
          <w:kern w:val="44"/>
          <w:sz w:val="32"/>
          <w:szCs w:val="32"/>
          <w:highlight w:val="none"/>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firstLine="640" w:firstLineChars="200"/>
        <w:rPr>
          <w:rFonts w:hint="eastAsia" w:ascii="仿宋_GB2312" w:hAnsi="Times New Roman" w:eastAsia="仿宋_GB2312" w:cs="Times New Roman"/>
          <w:bCs/>
          <w:kern w:val="44"/>
          <w:sz w:val="32"/>
          <w:szCs w:val="32"/>
          <w:highlight w:val="none"/>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firstLine="640" w:firstLineChars="200"/>
        <w:rPr>
          <w:rFonts w:hint="eastAsia" w:ascii="仿宋_GB2312" w:hAnsi="Times New Roman" w:eastAsia="仿宋_GB2312" w:cs="Times New Roman"/>
          <w:bCs/>
          <w:kern w:val="44"/>
          <w:sz w:val="32"/>
          <w:szCs w:val="32"/>
          <w:highlight w:val="none"/>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firstLine="640" w:firstLineChars="200"/>
        <w:rPr>
          <w:rFonts w:hint="eastAsia" w:ascii="仿宋_GB2312" w:hAnsi="Times New Roman" w:eastAsia="仿宋_GB2312" w:cs="Times New Roman"/>
          <w:bCs/>
          <w:kern w:val="44"/>
          <w:sz w:val="32"/>
          <w:szCs w:val="32"/>
          <w:highlight w:val="none"/>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firstLine="640" w:firstLineChars="200"/>
        <w:rPr>
          <w:rFonts w:hint="eastAsia" w:ascii="仿宋_GB2312" w:hAnsi="Times New Roman" w:eastAsia="仿宋_GB2312" w:cs="Times New Roman"/>
          <w:bCs/>
          <w:kern w:val="44"/>
          <w:sz w:val="32"/>
          <w:szCs w:val="32"/>
          <w:highlight w:val="none"/>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firstLine="640" w:firstLineChars="200"/>
        <w:rPr>
          <w:rFonts w:hint="eastAsia" w:ascii="仿宋_GB2312" w:hAnsi="Times New Roman" w:eastAsia="仿宋_GB2312" w:cs="Times New Roman"/>
          <w:bCs/>
          <w:kern w:val="44"/>
          <w:sz w:val="32"/>
          <w:szCs w:val="32"/>
          <w:highlight w:val="none"/>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firstLine="640" w:firstLineChars="200"/>
        <w:rPr>
          <w:rFonts w:hint="eastAsia" w:ascii="仿宋_GB2312" w:hAnsi="Times New Roman" w:eastAsia="仿宋_GB2312" w:cs="Times New Roman"/>
          <w:bCs/>
          <w:kern w:val="44"/>
          <w:sz w:val="32"/>
          <w:szCs w:val="32"/>
          <w:highlight w:val="none"/>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firstLine="640" w:firstLineChars="200"/>
        <w:rPr>
          <w:rFonts w:hint="eastAsia" w:ascii="仿宋_GB2312" w:hAnsi="Times New Roman" w:eastAsia="仿宋_GB2312" w:cs="Times New Roman"/>
          <w:bCs/>
          <w:kern w:val="44"/>
          <w:sz w:val="32"/>
          <w:szCs w:val="32"/>
          <w:highlight w:val="none"/>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firstLine="640" w:firstLineChars="200"/>
        <w:rPr>
          <w:rFonts w:hint="eastAsia" w:ascii="仿宋_GB2312" w:hAnsi="Times New Roman" w:eastAsia="仿宋_GB2312" w:cs="Times New Roman"/>
          <w:bCs/>
          <w:kern w:val="44"/>
          <w:sz w:val="32"/>
          <w:szCs w:val="32"/>
          <w:highlight w:val="none"/>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firstLine="640" w:firstLineChars="200"/>
        <w:rPr>
          <w:rFonts w:hint="eastAsia" w:ascii="仿宋_GB2312" w:hAnsi="Times New Roman" w:eastAsia="仿宋_GB2312" w:cs="Times New Roman"/>
          <w:bCs/>
          <w:kern w:val="44"/>
          <w:sz w:val="32"/>
          <w:szCs w:val="32"/>
          <w:highlight w:val="none"/>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firstLine="640" w:firstLineChars="200"/>
        <w:rPr>
          <w:rFonts w:hint="eastAsia" w:ascii="仿宋_GB2312" w:hAnsi="Times New Roman" w:eastAsia="仿宋_GB2312" w:cs="Times New Roman"/>
          <w:bCs/>
          <w:kern w:val="44"/>
          <w:sz w:val="32"/>
          <w:szCs w:val="32"/>
          <w:highlight w:val="none"/>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firstLine="640" w:firstLineChars="200"/>
        <w:rPr>
          <w:rFonts w:hint="eastAsia" w:ascii="仿宋_GB2312" w:hAnsi="Times New Roman" w:eastAsia="仿宋_GB2312" w:cs="Times New Roman"/>
          <w:bCs/>
          <w:kern w:val="44"/>
          <w:sz w:val="32"/>
          <w:szCs w:val="32"/>
          <w:highlight w:val="none"/>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firstLine="640" w:firstLineChars="200"/>
        <w:rPr>
          <w:rFonts w:hint="eastAsia" w:ascii="仿宋_GB2312" w:hAnsi="Times New Roman" w:eastAsia="仿宋_GB2312" w:cs="Times New Roman"/>
          <w:bCs/>
          <w:kern w:val="44"/>
          <w:sz w:val="32"/>
          <w:szCs w:val="32"/>
          <w:highlight w:val="none"/>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firstLine="640" w:firstLineChars="200"/>
        <w:rPr>
          <w:rFonts w:hint="eastAsia" w:ascii="仿宋_GB2312" w:hAnsi="Times New Roman" w:eastAsia="仿宋_GB2312" w:cs="Times New Roman"/>
          <w:bCs/>
          <w:kern w:val="44"/>
          <w:sz w:val="32"/>
          <w:szCs w:val="32"/>
          <w:highlight w:val="none"/>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firstLine="640" w:firstLineChars="200"/>
        <w:rPr>
          <w:rFonts w:hint="eastAsia" w:ascii="仿宋_GB2312" w:hAnsi="Times New Roman" w:eastAsia="仿宋_GB2312" w:cs="Times New Roman"/>
          <w:bCs/>
          <w:kern w:val="44"/>
          <w:sz w:val="32"/>
          <w:szCs w:val="32"/>
          <w:highlight w:val="none"/>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firstLine="640" w:firstLineChars="200"/>
        <w:rPr>
          <w:rFonts w:hint="eastAsia" w:ascii="仿宋_GB2312" w:hAnsi="Times New Roman" w:eastAsia="仿宋_GB2312" w:cs="Times New Roman"/>
          <w:bCs/>
          <w:kern w:val="44"/>
          <w:sz w:val="32"/>
          <w:szCs w:val="32"/>
          <w:highlight w:val="none"/>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firstLine="640" w:firstLineChars="200"/>
        <w:rPr>
          <w:rFonts w:hint="eastAsia" w:ascii="仿宋_GB2312" w:hAnsi="Times New Roman" w:eastAsia="仿宋_GB2312" w:cs="Times New Roman"/>
          <w:bCs/>
          <w:kern w:val="44"/>
          <w:sz w:val="32"/>
          <w:szCs w:val="32"/>
          <w:highlight w:val="none"/>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firstLine="640" w:firstLineChars="200"/>
        <w:rPr>
          <w:rFonts w:hint="eastAsia" w:ascii="仿宋_GB2312" w:hAnsi="Times New Roman" w:eastAsia="仿宋_GB2312" w:cs="Times New Roman"/>
          <w:bCs/>
          <w:kern w:val="44"/>
          <w:sz w:val="32"/>
          <w:szCs w:val="32"/>
          <w:highlight w:val="none"/>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firstLine="640" w:firstLineChars="200"/>
        <w:rPr>
          <w:rFonts w:hint="eastAsia" w:ascii="仿宋_GB2312" w:hAnsi="Times New Roman" w:eastAsia="仿宋_GB2312" w:cs="Times New Roman"/>
          <w:bCs/>
          <w:kern w:val="44"/>
          <w:sz w:val="32"/>
          <w:szCs w:val="32"/>
          <w:highlight w:val="none"/>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firstLine="640" w:firstLineChars="200"/>
        <w:rPr>
          <w:rFonts w:hint="eastAsia" w:ascii="仿宋_GB2312" w:hAnsi="Times New Roman" w:eastAsia="仿宋_GB2312" w:cs="Times New Roman"/>
          <w:bCs/>
          <w:kern w:val="44"/>
          <w:sz w:val="32"/>
          <w:szCs w:val="32"/>
          <w:highlight w:val="none"/>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firstLine="640" w:firstLineChars="200"/>
        <w:rPr>
          <w:rFonts w:hint="eastAsia" w:ascii="仿宋_GB2312" w:hAnsi="Times New Roman" w:eastAsia="仿宋_GB2312" w:cs="Times New Roman"/>
          <w:bCs/>
          <w:kern w:val="44"/>
          <w:sz w:val="32"/>
          <w:szCs w:val="32"/>
          <w:highlight w:val="none"/>
          <w:lang w:val="en-US" w:eastAsia="zh-CN" w:bidi="ar-SA"/>
        </w:rPr>
      </w:pPr>
    </w:p>
    <w:p>
      <w:pP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br w:type="page"/>
      </w:r>
    </w:p>
    <w:p>
      <w:pPr>
        <w:keepNext w:val="0"/>
        <w:keepLines w:val="0"/>
        <w:pageBreakBefore w:val="0"/>
        <w:widowControl w:val="0"/>
        <w:wordWrap/>
        <w:topLinePunct w:val="0"/>
        <w:bidi w:val="0"/>
        <w:spacing w:beforeAutospacing="0" w:afterAutospacing="0" w:line="560" w:lineRule="exact"/>
        <w:ind w:left="0" w:leftChars="0"/>
        <w:jc w:val="center"/>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南山区</w:t>
      </w:r>
      <w:r>
        <w:rPr>
          <w:rFonts w:hint="eastAsia" w:ascii="方正小标宋_GBK" w:hAnsi="方正小标宋_GBK" w:eastAsia="方正小标宋_GBK" w:cs="方正小标宋_GBK"/>
          <w:color w:val="auto"/>
          <w:sz w:val="44"/>
          <w:szCs w:val="44"/>
          <w:lang w:eastAsia="zh-CN"/>
        </w:rPr>
        <w:t>促进</w:t>
      </w:r>
      <w:r>
        <w:rPr>
          <w:rFonts w:hint="eastAsia" w:ascii="方正小标宋_GBK" w:hAnsi="方正小标宋_GBK" w:eastAsia="方正小标宋_GBK" w:cs="方正小标宋_GBK"/>
          <w:color w:val="auto"/>
          <w:sz w:val="44"/>
          <w:szCs w:val="44"/>
        </w:rPr>
        <w:t>总部</w:t>
      </w:r>
      <w:r>
        <w:rPr>
          <w:rFonts w:hint="eastAsia" w:ascii="方正小标宋_GBK" w:hAnsi="方正小标宋_GBK" w:eastAsia="方正小标宋_GBK" w:cs="方正小标宋_GBK"/>
          <w:color w:val="auto"/>
          <w:sz w:val="44"/>
          <w:szCs w:val="44"/>
          <w:lang w:val="en-US" w:eastAsia="zh-CN"/>
        </w:rPr>
        <w:t>企业</w:t>
      </w:r>
      <w:r>
        <w:rPr>
          <w:rFonts w:hint="eastAsia" w:ascii="方正小标宋_GBK" w:hAnsi="方正小标宋_GBK" w:eastAsia="方正小标宋_GBK" w:cs="方正小标宋_GBK"/>
          <w:color w:val="auto"/>
          <w:sz w:val="44"/>
          <w:szCs w:val="44"/>
        </w:rPr>
        <w:t>发展专项扶持措施</w:t>
      </w:r>
    </w:p>
    <w:p>
      <w:pPr>
        <w:keepNext w:val="0"/>
        <w:keepLines w:val="0"/>
        <w:pageBreakBefore w:val="0"/>
        <w:widowControl w:val="0"/>
        <w:numPr>
          <w:ilvl w:val="0"/>
          <w:numId w:val="0"/>
        </w:numPr>
        <w:wordWrap/>
        <w:topLinePunct w:val="0"/>
        <w:bidi w:val="0"/>
        <w:adjustRightInd w:val="0"/>
        <w:snapToGrid w:val="0"/>
        <w:spacing w:beforeAutospacing="0" w:afterAutospacing="0" w:line="560" w:lineRule="exact"/>
        <w:ind w:left="0" w:leftChars="0"/>
        <w:jc w:val="center"/>
        <w:outlineLvl w:val="0"/>
        <w:rPr>
          <w:rFonts w:hint="eastAsia" w:ascii="黑体" w:hAnsi="黑体" w:eastAsia="黑体"/>
          <w:color w:val="auto"/>
          <w:sz w:val="32"/>
          <w:szCs w:val="32"/>
          <w:lang w:val="en-US" w:eastAsia="zh-CN"/>
        </w:rPr>
      </w:pPr>
      <w:r>
        <w:rPr>
          <w:rFonts w:hint="eastAsia" w:ascii="宋体" w:hAnsi="宋体" w:eastAsia="宋体" w:cs="宋体"/>
          <w:b/>
          <w:bCs/>
          <w:sz w:val="36"/>
          <w:szCs w:val="36"/>
          <w:lang w:eastAsia="zh-CN"/>
        </w:rPr>
        <w:t>（征求意见稿）</w:t>
      </w:r>
      <w:bookmarkStart w:id="339" w:name="_Toc22612"/>
    </w:p>
    <w:p>
      <w:pPr>
        <w:pStyle w:val="16"/>
        <w:keepNext w:val="0"/>
        <w:keepLines w:val="0"/>
        <w:pageBreakBefore w:val="0"/>
        <w:widowControl w:val="0"/>
        <w:numPr>
          <w:ilvl w:val="0"/>
          <w:numId w:val="0"/>
        </w:numPr>
        <w:wordWrap/>
        <w:topLinePunct w:val="0"/>
        <w:bidi w:val="0"/>
        <w:adjustRightInd w:val="0"/>
        <w:snapToGrid w:val="0"/>
        <w:spacing w:beforeAutospacing="0" w:afterAutospacing="0" w:line="560" w:lineRule="exact"/>
        <w:ind w:left="0" w:leftChars="0"/>
        <w:jc w:val="center"/>
        <w:outlineLvl w:val="0"/>
        <w:rPr>
          <w:rFonts w:hint="eastAsia" w:ascii="黑体" w:hAnsi="黑体" w:eastAsia="黑体"/>
          <w:color w:val="auto"/>
          <w:sz w:val="32"/>
          <w:szCs w:val="32"/>
          <w:lang w:val="en-US" w:eastAsia="zh-CN"/>
        </w:rPr>
      </w:pPr>
    </w:p>
    <w:p>
      <w:pPr>
        <w:pStyle w:val="16"/>
        <w:keepNext w:val="0"/>
        <w:keepLines w:val="0"/>
        <w:pageBreakBefore w:val="0"/>
        <w:widowControl w:val="0"/>
        <w:numPr>
          <w:ilvl w:val="0"/>
          <w:numId w:val="0"/>
        </w:numPr>
        <w:wordWrap/>
        <w:topLinePunct w:val="0"/>
        <w:bidi w:val="0"/>
        <w:adjustRightInd w:val="0"/>
        <w:snapToGrid w:val="0"/>
        <w:spacing w:beforeAutospacing="0" w:afterAutospacing="0" w:line="560" w:lineRule="exact"/>
        <w:ind w:left="0" w:leftChars="0"/>
        <w:jc w:val="center"/>
        <w:outlineLvl w:val="0"/>
        <w:rPr>
          <w:rFonts w:ascii="黑体" w:hAnsi="黑体" w:eastAsia="黑体"/>
          <w:color w:val="auto"/>
          <w:sz w:val="32"/>
          <w:szCs w:val="32"/>
        </w:rPr>
      </w:pPr>
      <w:r>
        <w:rPr>
          <w:rFonts w:hint="eastAsia" w:ascii="黑体" w:hAnsi="黑体" w:eastAsia="黑体"/>
          <w:color w:val="auto"/>
          <w:sz w:val="32"/>
          <w:szCs w:val="32"/>
          <w:lang w:val="en-US" w:eastAsia="zh-CN"/>
        </w:rPr>
        <w:t>第一章</w:t>
      </w:r>
      <w:r>
        <w:rPr>
          <w:rFonts w:hint="eastAsia" w:ascii="黑体" w:hAnsi="黑体" w:eastAsia="黑体"/>
          <w:color w:val="auto"/>
          <w:sz w:val="32"/>
          <w:szCs w:val="32"/>
        </w:rPr>
        <w:t xml:space="preserve">  </w:t>
      </w:r>
      <w:bookmarkStart w:id="340" w:name="_Toc4679"/>
      <w:bookmarkStart w:id="341" w:name="_Toc21914"/>
      <w:r>
        <w:rPr>
          <w:rFonts w:hint="eastAsia" w:ascii="黑体" w:hAnsi="黑体" w:eastAsia="黑体"/>
          <w:color w:val="auto"/>
          <w:sz w:val="32"/>
          <w:szCs w:val="32"/>
        </w:rPr>
        <w:t>总  则</w:t>
      </w:r>
      <w:bookmarkEnd w:id="339"/>
      <w:bookmarkEnd w:id="340"/>
      <w:bookmarkEnd w:id="341"/>
    </w:p>
    <w:p>
      <w:pPr>
        <w:pStyle w:val="16"/>
        <w:keepNext w:val="0"/>
        <w:keepLines w:val="0"/>
        <w:pageBreakBefore w:val="0"/>
        <w:widowControl w:val="0"/>
        <w:wordWrap/>
        <w:topLinePunct w:val="0"/>
        <w:bidi w:val="0"/>
        <w:adjustRightInd w:val="0"/>
        <w:snapToGrid w:val="0"/>
        <w:spacing w:beforeAutospacing="0" w:afterAutospacing="0" w:line="560" w:lineRule="exact"/>
        <w:ind w:left="0" w:leftChars="0" w:firstLine="0" w:firstLineChars="0"/>
        <w:rPr>
          <w:rFonts w:ascii="黑体" w:hAnsi="黑体" w:eastAsia="黑体"/>
          <w:color w:val="auto"/>
          <w:sz w:val="32"/>
          <w:szCs w:val="32"/>
        </w:rPr>
      </w:pPr>
    </w:p>
    <w:p>
      <w:pPr>
        <w:pStyle w:val="16"/>
        <w:keepNext w:val="0"/>
        <w:keepLines w:val="0"/>
        <w:pageBreakBefore w:val="0"/>
        <w:widowControl w:val="0"/>
        <w:numPr>
          <w:ilvl w:val="-1"/>
          <w:numId w:val="0"/>
        </w:numPr>
        <w:wordWrap/>
        <w:topLinePunct w:val="0"/>
        <w:bidi w:val="0"/>
        <w:adjustRightInd w:val="0"/>
        <w:snapToGrid w:val="0"/>
        <w:spacing w:beforeAutospacing="0" w:afterAutospacing="0" w:line="560" w:lineRule="exact"/>
        <w:ind w:left="0" w:leftChars="0" w:firstLine="643" w:firstLineChars="200"/>
        <w:rPr>
          <w:rFonts w:ascii="仿宋_GB2312" w:eastAsia="仿宋_GB2312"/>
          <w:color w:val="auto"/>
          <w:sz w:val="32"/>
          <w:szCs w:val="32"/>
          <w:highlight w:val="none"/>
        </w:rPr>
      </w:pPr>
      <w:r>
        <w:rPr>
          <w:rFonts w:hint="eastAsia" w:ascii="楷体_GB2312" w:hAnsi="楷体_GB2312" w:eastAsia="楷体_GB2312" w:cs="楷体_GB2312"/>
          <w:b/>
          <w:sz w:val="32"/>
          <w:szCs w:val="32"/>
          <w:highlight w:val="none"/>
        </w:rPr>
        <w:t>第一条</w:t>
      </w:r>
      <w:r>
        <w:rPr>
          <w:rFonts w:hint="eastAsia" w:ascii="仿宋_GB2312" w:hAnsi="黑体" w:eastAsia="仿宋_GB2312"/>
          <w:color w:val="auto"/>
          <w:sz w:val="32"/>
          <w:szCs w:val="32"/>
          <w:highlight w:val="none"/>
        </w:rPr>
        <w:t xml:space="preserve">  为</w:t>
      </w:r>
      <w:r>
        <w:rPr>
          <w:rFonts w:hint="eastAsia" w:ascii="仿宋_GB2312" w:hAnsi="宋体" w:eastAsia="仿宋_GB2312" w:cs="宋体"/>
          <w:color w:val="auto"/>
          <w:kern w:val="0"/>
          <w:sz w:val="32"/>
          <w:szCs w:val="32"/>
          <w:highlight w:val="none"/>
        </w:rPr>
        <w:t>加快我区总部经济发展，壮大总部经济规模，提高经济发展质量</w:t>
      </w:r>
      <w:r>
        <w:rPr>
          <w:rFonts w:hint="eastAsia" w:ascii="仿宋_GB2312" w:eastAsia="仿宋_GB2312"/>
          <w:color w:val="auto"/>
          <w:sz w:val="32"/>
          <w:szCs w:val="32"/>
          <w:highlight w:val="none"/>
        </w:rPr>
        <w:t>，制定本</w:t>
      </w:r>
      <w:r>
        <w:rPr>
          <w:rFonts w:hint="eastAsia" w:ascii="仿宋_GB2312" w:eastAsia="仿宋_GB2312"/>
          <w:color w:val="auto"/>
          <w:sz w:val="32"/>
          <w:szCs w:val="32"/>
          <w:highlight w:val="none"/>
          <w:lang w:eastAsia="zh-CN"/>
        </w:rPr>
        <w:t>措施</w:t>
      </w:r>
      <w:r>
        <w:rPr>
          <w:rFonts w:hint="eastAsia" w:ascii="仿宋_GB2312" w:eastAsia="仿宋_GB2312"/>
          <w:color w:val="auto"/>
          <w:sz w:val="32"/>
          <w:szCs w:val="32"/>
          <w:highlight w:val="none"/>
        </w:rPr>
        <w:t>。</w:t>
      </w:r>
    </w:p>
    <w:p>
      <w:pPr>
        <w:pStyle w:val="16"/>
        <w:keepNext w:val="0"/>
        <w:keepLines w:val="0"/>
        <w:pageBreakBefore w:val="0"/>
        <w:widowControl w:val="0"/>
        <w:numPr>
          <w:ilvl w:val="-1"/>
          <w:numId w:val="0"/>
        </w:numPr>
        <w:wordWrap/>
        <w:topLinePunct w:val="0"/>
        <w:bidi w:val="0"/>
        <w:adjustRightInd w:val="0"/>
        <w:snapToGrid w:val="0"/>
        <w:spacing w:beforeAutospacing="0" w:afterAutospacing="0" w:line="560" w:lineRule="exact"/>
        <w:ind w:left="0" w:leftChars="0" w:firstLine="643" w:firstLineChars="200"/>
        <w:rPr>
          <w:rFonts w:ascii="仿宋_GB2312" w:hAnsi="黑体" w:eastAsia="仿宋_GB2312"/>
          <w:color w:val="auto"/>
          <w:sz w:val="32"/>
          <w:szCs w:val="32"/>
          <w:highlight w:val="none"/>
        </w:rPr>
      </w:pPr>
      <w:r>
        <w:rPr>
          <w:rFonts w:hint="eastAsia" w:ascii="楷体_GB2312" w:hAnsi="楷体_GB2312" w:eastAsia="楷体_GB2312" w:cs="楷体_GB2312"/>
          <w:b/>
          <w:sz w:val="32"/>
          <w:szCs w:val="32"/>
          <w:highlight w:val="none"/>
        </w:rPr>
        <w:t>第</w:t>
      </w:r>
      <w:r>
        <w:rPr>
          <w:rFonts w:hint="eastAsia" w:ascii="楷体_GB2312" w:hAnsi="楷体_GB2312" w:eastAsia="楷体_GB2312" w:cs="楷体_GB2312"/>
          <w:b/>
          <w:sz w:val="32"/>
          <w:szCs w:val="32"/>
          <w:highlight w:val="none"/>
          <w:lang w:val="en-US" w:eastAsia="zh-CN"/>
        </w:rPr>
        <w:t>二</w:t>
      </w:r>
      <w:r>
        <w:rPr>
          <w:rFonts w:hint="eastAsia" w:ascii="楷体_GB2312" w:hAnsi="楷体_GB2312" w:eastAsia="楷体_GB2312" w:cs="楷体_GB2312"/>
          <w:b/>
          <w:sz w:val="32"/>
          <w:szCs w:val="32"/>
          <w:highlight w:val="none"/>
        </w:rPr>
        <w:t>条</w:t>
      </w:r>
      <w:r>
        <w:rPr>
          <w:rFonts w:hint="eastAsia" w:ascii="仿宋_GB2312" w:hAnsi="黑体" w:eastAsia="仿宋_GB2312"/>
          <w:color w:val="auto"/>
          <w:sz w:val="32"/>
          <w:szCs w:val="32"/>
          <w:highlight w:val="none"/>
        </w:rPr>
        <w:t xml:space="preserve">  本</w:t>
      </w:r>
      <w:r>
        <w:rPr>
          <w:rFonts w:hint="eastAsia" w:ascii="仿宋_GB2312" w:hAnsi="黑体" w:eastAsia="仿宋_GB2312"/>
          <w:color w:val="auto"/>
          <w:sz w:val="32"/>
          <w:szCs w:val="32"/>
          <w:highlight w:val="none"/>
          <w:lang w:eastAsia="zh-CN"/>
        </w:rPr>
        <w:t>措施</w:t>
      </w:r>
      <w:r>
        <w:rPr>
          <w:rFonts w:hint="eastAsia" w:ascii="仿宋_GB2312" w:hAnsi="黑体" w:eastAsia="仿宋_GB2312"/>
          <w:color w:val="auto"/>
          <w:sz w:val="32"/>
          <w:szCs w:val="32"/>
          <w:highlight w:val="none"/>
        </w:rPr>
        <w:t>所称总部企业，是指</w:t>
      </w:r>
      <w:r>
        <w:rPr>
          <w:rFonts w:hint="eastAsia" w:ascii="仿宋_GB2312" w:hAnsi="仿宋_GB2312" w:eastAsia="仿宋_GB2312" w:cs="仿宋_GB2312"/>
          <w:color w:val="auto"/>
          <w:sz w:val="32"/>
          <w:szCs w:val="32"/>
          <w:highlight w:val="none"/>
        </w:rPr>
        <w:t>在南山区注册具有独立法人资格，行使投资管理、经营决策、组织管理和服务等总部管理职能，核心营运机构、职能机构均设在南山区的总机构。符合下列条件之一的，可申请认定为总部企业，享受本</w:t>
      </w:r>
      <w:r>
        <w:rPr>
          <w:rFonts w:hint="eastAsia" w:ascii="仿宋_GB2312" w:hAnsi="仿宋_GB2312" w:eastAsia="仿宋_GB2312" w:cs="仿宋_GB2312"/>
          <w:color w:val="auto"/>
          <w:sz w:val="32"/>
          <w:szCs w:val="32"/>
          <w:highlight w:val="none"/>
          <w:lang w:eastAsia="zh-CN"/>
        </w:rPr>
        <w:t>措施</w:t>
      </w:r>
      <w:r>
        <w:rPr>
          <w:rFonts w:hint="eastAsia" w:ascii="仿宋_GB2312" w:hAnsi="仿宋_GB2312" w:eastAsia="仿宋_GB2312" w:cs="仿宋_GB2312"/>
          <w:color w:val="auto"/>
          <w:sz w:val="32"/>
          <w:szCs w:val="32"/>
          <w:highlight w:val="none"/>
        </w:rPr>
        <w:t>的总部企业</w:t>
      </w:r>
      <w:r>
        <w:rPr>
          <w:rFonts w:hint="eastAsia" w:ascii="仿宋_GB2312" w:hAnsi="仿宋_GB2312" w:eastAsia="仿宋_GB2312" w:cs="仿宋_GB2312"/>
          <w:color w:val="auto"/>
          <w:sz w:val="32"/>
          <w:szCs w:val="32"/>
          <w:highlight w:val="none"/>
          <w:lang w:val="en-US" w:eastAsia="zh-CN"/>
        </w:rPr>
        <w:t>相关扶持</w:t>
      </w:r>
      <w:r>
        <w:rPr>
          <w:rFonts w:hint="eastAsia" w:ascii="仿宋_GB2312" w:hAnsi="仿宋_GB2312" w:eastAsia="仿宋_GB2312" w:cs="仿宋_GB2312"/>
          <w:color w:val="auto"/>
          <w:sz w:val="32"/>
          <w:szCs w:val="32"/>
          <w:highlight w:val="none"/>
        </w:rPr>
        <w:t>政策。</w:t>
      </w:r>
    </w:p>
    <w:p>
      <w:pPr>
        <w:pStyle w:val="16"/>
        <w:keepNext w:val="0"/>
        <w:keepLines w:val="0"/>
        <w:pageBreakBefore w:val="0"/>
        <w:widowControl w:val="0"/>
        <w:numPr>
          <w:ilvl w:val="0"/>
          <w:numId w:val="3"/>
        </w:numPr>
        <w:wordWrap/>
        <w:topLinePunct w:val="0"/>
        <w:bidi w:val="0"/>
        <w:adjustRightInd w:val="0"/>
        <w:snapToGrid w:val="0"/>
        <w:spacing w:beforeAutospacing="0" w:afterAutospacing="0" w:line="560" w:lineRule="exact"/>
        <w:ind w:left="0" w:leftChars="0"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工业企业、服务业企业：上年度纳入南山区统计核算的产值规模（营业收入）不低于8亿元（人民币，下同）且上年度形成南山区地方财力不低于</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00万元,或上年度纳入南山区统计核算的产值规模（营业收入）不低于6亿元且上年度形成南山区地方财力不低于</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00万元；</w:t>
      </w:r>
    </w:p>
    <w:p>
      <w:pPr>
        <w:pStyle w:val="16"/>
        <w:keepNext w:val="0"/>
        <w:keepLines w:val="0"/>
        <w:pageBreakBefore w:val="0"/>
        <w:widowControl w:val="0"/>
        <w:numPr>
          <w:ilvl w:val="0"/>
          <w:numId w:val="3"/>
        </w:numPr>
        <w:wordWrap/>
        <w:topLinePunct w:val="0"/>
        <w:bidi w:val="0"/>
        <w:adjustRightInd w:val="0"/>
        <w:snapToGrid w:val="0"/>
        <w:spacing w:beforeAutospacing="0" w:afterAutospacing="0" w:line="560" w:lineRule="exact"/>
        <w:ind w:left="0" w:leftChars="0"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金融业企业：</w:t>
      </w:r>
      <w:r>
        <w:rPr>
          <w:rFonts w:hint="eastAsia" w:ascii="仿宋_GB2312" w:hAnsi="仿宋_GB2312" w:eastAsia="仿宋_GB2312" w:cs="仿宋_GB2312"/>
          <w:color w:val="auto"/>
          <w:sz w:val="32"/>
          <w:szCs w:val="32"/>
          <w:highlight w:val="none"/>
        </w:rPr>
        <w:t>上年度纳入南山区的营业收入不低于</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亿元且上年度形成南山区地方财力不低于</w:t>
      </w:r>
      <w:r>
        <w:rPr>
          <w:rFonts w:hint="eastAsia" w:ascii="仿宋_GB2312" w:hAnsi="仿宋_GB2312" w:eastAsia="仿宋_GB2312" w:cs="仿宋_GB2312"/>
          <w:color w:val="auto"/>
          <w:sz w:val="32"/>
          <w:szCs w:val="32"/>
          <w:highlight w:val="none"/>
          <w:lang w:val="en-US" w:eastAsia="zh-CN"/>
        </w:rPr>
        <w:t>30</w:t>
      </w:r>
      <w:r>
        <w:rPr>
          <w:rFonts w:hint="eastAsia" w:ascii="仿宋_GB2312" w:hAnsi="仿宋_GB2312" w:eastAsia="仿宋_GB2312" w:cs="仿宋_GB2312"/>
          <w:color w:val="auto"/>
          <w:sz w:val="32"/>
          <w:szCs w:val="32"/>
          <w:highlight w:val="none"/>
        </w:rPr>
        <w:t>00万元；</w:t>
      </w:r>
    </w:p>
    <w:p>
      <w:pPr>
        <w:pStyle w:val="16"/>
        <w:keepNext w:val="0"/>
        <w:keepLines w:val="0"/>
        <w:pageBreakBefore w:val="0"/>
        <w:widowControl w:val="0"/>
        <w:numPr>
          <w:ilvl w:val="0"/>
          <w:numId w:val="3"/>
        </w:numPr>
        <w:wordWrap/>
        <w:topLinePunct w:val="0"/>
        <w:bidi w:val="0"/>
        <w:adjustRightInd w:val="0"/>
        <w:snapToGrid w:val="0"/>
        <w:spacing w:beforeAutospacing="0" w:afterAutospacing="0" w:line="560" w:lineRule="exact"/>
        <w:ind w:left="0" w:leftChars="0"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批发业企业：上年度纳入南山区统计核算的销售</w:t>
      </w:r>
      <w:r>
        <w:rPr>
          <w:rFonts w:hint="eastAsia" w:ascii="仿宋_GB2312" w:hAnsi="仿宋_GB2312" w:eastAsia="仿宋_GB2312" w:cs="仿宋_GB2312"/>
          <w:color w:val="auto"/>
          <w:sz w:val="32"/>
          <w:szCs w:val="32"/>
          <w:highlight w:val="none"/>
          <w:lang w:eastAsia="zh-CN"/>
        </w:rPr>
        <w:t>额</w:t>
      </w:r>
      <w:r>
        <w:rPr>
          <w:rFonts w:hint="eastAsia" w:ascii="仿宋_GB2312" w:hAnsi="仿宋_GB2312" w:eastAsia="仿宋_GB2312" w:cs="仿宋_GB2312"/>
          <w:color w:val="auto"/>
          <w:sz w:val="32"/>
          <w:szCs w:val="32"/>
          <w:highlight w:val="none"/>
        </w:rPr>
        <w:t>不低于</w:t>
      </w:r>
      <w:r>
        <w:rPr>
          <w:rFonts w:hint="eastAsia" w:ascii="仿宋_GB2312" w:hAnsi="仿宋_GB2312" w:eastAsia="仿宋_GB2312" w:cs="仿宋_GB2312"/>
          <w:color w:val="auto"/>
          <w:sz w:val="32"/>
          <w:szCs w:val="32"/>
          <w:highlight w:val="none"/>
          <w:lang w:val="en-US" w:eastAsia="zh-CN"/>
        </w:rPr>
        <w:t>70</w:t>
      </w:r>
      <w:r>
        <w:rPr>
          <w:rFonts w:hint="eastAsia" w:ascii="仿宋_GB2312" w:hAnsi="仿宋_GB2312" w:eastAsia="仿宋_GB2312" w:cs="仿宋_GB2312"/>
          <w:color w:val="auto"/>
          <w:sz w:val="32"/>
          <w:szCs w:val="32"/>
          <w:highlight w:val="none"/>
        </w:rPr>
        <w:t>亿元且上年度形成南山区地方财力不低于</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00万元；</w:t>
      </w:r>
    </w:p>
    <w:p>
      <w:pPr>
        <w:pStyle w:val="16"/>
        <w:keepNext w:val="0"/>
        <w:keepLines w:val="0"/>
        <w:pageBreakBefore w:val="0"/>
        <w:widowControl w:val="0"/>
        <w:numPr>
          <w:ilvl w:val="0"/>
          <w:numId w:val="3"/>
        </w:numPr>
        <w:wordWrap/>
        <w:topLinePunct w:val="0"/>
        <w:bidi w:val="0"/>
        <w:adjustRightInd w:val="0"/>
        <w:snapToGrid w:val="0"/>
        <w:spacing w:beforeAutospacing="0" w:afterAutospacing="0" w:line="560" w:lineRule="exact"/>
        <w:ind w:left="0" w:leftChars="0"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零售业企业：上年度纳入南山区统计核算的销售</w:t>
      </w:r>
      <w:r>
        <w:rPr>
          <w:rFonts w:hint="eastAsia" w:ascii="仿宋_GB2312" w:hAnsi="仿宋_GB2312" w:eastAsia="仿宋_GB2312" w:cs="仿宋_GB2312"/>
          <w:color w:val="auto"/>
          <w:sz w:val="32"/>
          <w:szCs w:val="32"/>
          <w:highlight w:val="none"/>
          <w:lang w:eastAsia="zh-CN"/>
        </w:rPr>
        <w:t>额</w:t>
      </w:r>
      <w:r>
        <w:rPr>
          <w:rFonts w:hint="eastAsia" w:ascii="仿宋_GB2312" w:hAnsi="仿宋_GB2312" w:eastAsia="仿宋_GB2312" w:cs="仿宋_GB2312"/>
          <w:color w:val="auto"/>
          <w:sz w:val="32"/>
          <w:szCs w:val="32"/>
          <w:highlight w:val="none"/>
        </w:rPr>
        <w:t>不低于</w:t>
      </w:r>
      <w:r>
        <w:rPr>
          <w:rFonts w:hint="eastAsia" w:ascii="仿宋_GB2312" w:hAnsi="仿宋_GB2312" w:eastAsia="仿宋_GB2312" w:cs="仿宋_GB2312"/>
          <w:color w:val="auto"/>
          <w:sz w:val="32"/>
          <w:szCs w:val="32"/>
          <w:highlight w:val="none"/>
          <w:lang w:val="en-US" w:eastAsia="zh-CN"/>
        </w:rPr>
        <w:t>25</w:t>
      </w:r>
      <w:r>
        <w:rPr>
          <w:rFonts w:hint="eastAsia" w:ascii="仿宋_GB2312" w:hAnsi="仿宋_GB2312" w:eastAsia="仿宋_GB2312" w:cs="仿宋_GB2312"/>
          <w:color w:val="auto"/>
          <w:sz w:val="32"/>
          <w:szCs w:val="32"/>
          <w:highlight w:val="none"/>
        </w:rPr>
        <w:t>亿元且上年度形成南山区地方财力不低于</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00万元；</w:t>
      </w:r>
    </w:p>
    <w:p>
      <w:pPr>
        <w:pStyle w:val="16"/>
        <w:keepNext w:val="0"/>
        <w:keepLines w:val="0"/>
        <w:pageBreakBefore w:val="0"/>
        <w:widowControl w:val="0"/>
        <w:numPr>
          <w:ilvl w:val="0"/>
          <w:numId w:val="3"/>
        </w:numPr>
        <w:wordWrap/>
        <w:topLinePunct w:val="0"/>
        <w:bidi w:val="0"/>
        <w:adjustRightInd w:val="0"/>
        <w:snapToGrid w:val="0"/>
        <w:spacing w:beforeAutospacing="0" w:afterAutospacing="0" w:line="560" w:lineRule="exact"/>
        <w:ind w:left="0" w:leftChars="0"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建筑业企业：上年度纳入南山区统计核算的建筑业总产值不低于20亿元且上年度形成南山区地方财力不低于200万元；</w:t>
      </w:r>
    </w:p>
    <w:p>
      <w:pPr>
        <w:pStyle w:val="16"/>
        <w:keepNext w:val="0"/>
        <w:keepLines w:val="0"/>
        <w:pageBreakBefore w:val="0"/>
        <w:widowControl w:val="0"/>
        <w:numPr>
          <w:ilvl w:val="0"/>
          <w:numId w:val="3"/>
        </w:numPr>
        <w:wordWrap/>
        <w:topLinePunct w:val="0"/>
        <w:bidi w:val="0"/>
        <w:adjustRightInd w:val="0"/>
        <w:snapToGrid w:val="0"/>
        <w:spacing w:beforeAutospacing="0" w:afterAutospacing="0" w:line="560" w:lineRule="exact"/>
        <w:ind w:left="0" w:leftChars="0"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住宿业企业、餐饮业企业：上年度纳入南山区统计核算的营业</w:t>
      </w:r>
      <w:r>
        <w:rPr>
          <w:rFonts w:hint="eastAsia" w:ascii="仿宋_GB2312" w:hAnsi="仿宋_GB2312" w:eastAsia="仿宋_GB2312" w:cs="仿宋_GB2312"/>
          <w:color w:val="auto"/>
          <w:sz w:val="32"/>
          <w:szCs w:val="32"/>
          <w:highlight w:val="none"/>
          <w:lang w:eastAsia="zh-CN"/>
        </w:rPr>
        <w:t>额</w:t>
      </w:r>
      <w:r>
        <w:rPr>
          <w:rFonts w:hint="eastAsia" w:ascii="仿宋_GB2312" w:hAnsi="仿宋_GB2312" w:eastAsia="仿宋_GB2312" w:cs="仿宋_GB2312"/>
          <w:color w:val="auto"/>
          <w:sz w:val="32"/>
          <w:szCs w:val="32"/>
          <w:highlight w:val="none"/>
        </w:rPr>
        <w:t>不低于</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亿元且上年度形成南山区地方财力不低于100万元；</w:t>
      </w:r>
    </w:p>
    <w:p>
      <w:pPr>
        <w:pStyle w:val="16"/>
        <w:keepNext w:val="0"/>
        <w:keepLines w:val="0"/>
        <w:pageBreakBefore w:val="0"/>
        <w:widowControl w:val="0"/>
        <w:numPr>
          <w:ilvl w:val="0"/>
          <w:numId w:val="3"/>
        </w:numPr>
        <w:wordWrap/>
        <w:topLinePunct w:val="0"/>
        <w:bidi w:val="0"/>
        <w:adjustRightInd w:val="0"/>
        <w:snapToGrid w:val="0"/>
        <w:spacing w:beforeAutospacing="0" w:afterAutospacing="0" w:line="560" w:lineRule="exact"/>
        <w:ind w:left="0" w:leftChars="0" w:firstLine="640" w:firstLineChars="200"/>
        <w:rPr>
          <w:rFonts w:ascii="仿宋_GB2312" w:hAnsi="仿宋_GB2312" w:eastAsia="仿宋_GB2312" w:cs="仿宋_GB2312"/>
          <w:color w:val="auto"/>
          <w:sz w:val="32"/>
          <w:szCs w:val="32"/>
          <w:highlight w:val="none"/>
        </w:rPr>
      </w:pPr>
      <w:r>
        <w:rPr>
          <w:rFonts w:hint="eastAsia" w:ascii="仿宋_GB2312" w:hAnsi="宋体" w:eastAsia="仿宋_GB2312" w:cs="宋体"/>
          <w:color w:val="auto"/>
          <w:sz w:val="32"/>
          <w:szCs w:val="32"/>
          <w:highlight w:val="none"/>
        </w:rPr>
        <w:t>注册登记在南山区的市级总部企业</w:t>
      </w:r>
      <w:r>
        <w:rPr>
          <w:rFonts w:hint="eastAsia" w:ascii="仿宋_GB2312" w:hAnsi="宋体" w:eastAsia="仿宋_GB2312" w:cs="宋体"/>
          <w:color w:val="auto"/>
          <w:sz w:val="32"/>
          <w:szCs w:val="32"/>
          <w:highlight w:val="none"/>
          <w:lang w:eastAsia="zh-CN"/>
        </w:rPr>
        <w:t>、</w:t>
      </w:r>
      <w:r>
        <w:rPr>
          <w:rFonts w:hint="eastAsia" w:ascii="仿宋_GB2312" w:hAnsi="仿宋_GB2312" w:eastAsia="仿宋_GB2312" w:cs="仿宋_GB2312"/>
          <w:color w:val="auto"/>
          <w:sz w:val="32"/>
          <w:szCs w:val="32"/>
          <w:highlight w:val="none"/>
        </w:rPr>
        <w:t>入选《财富》“世界500强”</w:t>
      </w:r>
      <w:r>
        <w:rPr>
          <w:rFonts w:hint="eastAsia" w:ascii="仿宋_GB2312" w:hAnsi="仿宋_GB2312" w:eastAsia="仿宋_GB2312" w:cs="仿宋_GB2312"/>
          <w:color w:val="auto"/>
          <w:sz w:val="32"/>
          <w:szCs w:val="32"/>
          <w:highlight w:val="none"/>
          <w:lang w:val="en-US" w:eastAsia="zh-CN"/>
        </w:rPr>
        <w:t>企业或</w:t>
      </w:r>
      <w:r>
        <w:rPr>
          <w:rFonts w:hint="eastAsia" w:ascii="仿宋_GB2312" w:hAnsi="仿宋_GB2312" w:eastAsia="仿宋_GB2312" w:cs="仿宋_GB2312"/>
          <w:color w:val="auto"/>
          <w:sz w:val="32"/>
          <w:szCs w:val="32"/>
          <w:highlight w:val="none"/>
        </w:rPr>
        <w:t>入选中国企业联合会“中国500强”企业；</w:t>
      </w:r>
    </w:p>
    <w:p>
      <w:pPr>
        <w:pStyle w:val="16"/>
        <w:keepNext w:val="0"/>
        <w:keepLines w:val="0"/>
        <w:pageBreakBefore w:val="0"/>
        <w:widowControl w:val="0"/>
        <w:numPr>
          <w:ilvl w:val="0"/>
          <w:numId w:val="3"/>
        </w:numPr>
        <w:wordWrap/>
        <w:topLinePunct w:val="0"/>
        <w:bidi w:val="0"/>
        <w:adjustRightInd w:val="0"/>
        <w:snapToGrid w:val="0"/>
        <w:spacing w:beforeAutospacing="0" w:afterAutospacing="0" w:line="560" w:lineRule="exact"/>
        <w:ind w:left="0" w:leftChars="0"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非金融业企业，</w:t>
      </w:r>
      <w:r>
        <w:rPr>
          <w:rFonts w:hint="eastAsia" w:ascii="仿宋_GB2312" w:hAnsi="仿宋_GB2312" w:eastAsia="仿宋_GB2312" w:cs="仿宋_GB2312"/>
          <w:color w:val="auto"/>
          <w:sz w:val="32"/>
          <w:szCs w:val="32"/>
          <w:highlight w:val="none"/>
        </w:rPr>
        <w:t>连续3年形成地方财力达到1500万元</w:t>
      </w:r>
      <w:r>
        <w:rPr>
          <w:rFonts w:hint="eastAsia" w:ascii="仿宋_GB2312" w:hAnsi="仿宋_GB2312" w:eastAsia="仿宋_GB2312" w:cs="仿宋_GB2312"/>
          <w:color w:val="auto"/>
          <w:sz w:val="32"/>
          <w:szCs w:val="32"/>
          <w:highlight w:val="none"/>
          <w:lang w:val="en-US" w:eastAsia="zh-CN"/>
        </w:rPr>
        <w:t>或者连续2年形成地方财力达到2000万元</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金融业企业，</w:t>
      </w:r>
      <w:r>
        <w:rPr>
          <w:rFonts w:hint="eastAsia" w:ascii="仿宋_GB2312" w:hAnsi="仿宋_GB2312" w:eastAsia="仿宋_GB2312" w:cs="仿宋_GB2312"/>
          <w:color w:val="auto"/>
          <w:sz w:val="32"/>
          <w:szCs w:val="32"/>
          <w:highlight w:val="none"/>
        </w:rPr>
        <w:t>连续3年形成地方财力达到</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500万元</w:t>
      </w:r>
      <w:r>
        <w:rPr>
          <w:rFonts w:hint="eastAsia" w:ascii="仿宋_GB2312" w:hAnsi="仿宋_GB2312" w:eastAsia="仿宋_GB2312" w:cs="仿宋_GB2312"/>
          <w:color w:val="auto"/>
          <w:sz w:val="32"/>
          <w:szCs w:val="32"/>
          <w:highlight w:val="none"/>
          <w:lang w:val="en-US" w:eastAsia="zh-CN"/>
        </w:rPr>
        <w:t>或者连续2年形成地方财力达到3000万元</w:t>
      </w:r>
      <w:r>
        <w:rPr>
          <w:rFonts w:hint="eastAsia" w:ascii="仿宋_GB2312" w:hAnsi="仿宋_GB2312" w:eastAsia="仿宋_GB2312" w:cs="仿宋_GB2312"/>
          <w:color w:val="auto"/>
          <w:sz w:val="32"/>
          <w:szCs w:val="32"/>
          <w:highlight w:val="none"/>
        </w:rPr>
        <w:t>；</w:t>
      </w:r>
    </w:p>
    <w:p>
      <w:pPr>
        <w:pStyle w:val="16"/>
        <w:keepNext w:val="0"/>
        <w:keepLines w:val="0"/>
        <w:pageBreakBefore w:val="0"/>
        <w:widowControl w:val="0"/>
        <w:numPr>
          <w:ilvl w:val="0"/>
          <w:numId w:val="3"/>
        </w:numPr>
        <w:wordWrap/>
        <w:topLinePunct w:val="0"/>
        <w:bidi w:val="0"/>
        <w:adjustRightInd w:val="0"/>
        <w:snapToGrid w:val="0"/>
        <w:spacing w:beforeAutospacing="0" w:afterAutospacing="0" w:line="560" w:lineRule="exact"/>
        <w:ind w:left="0" w:leftChars="0" w:firstLine="640" w:firstLineChars="200"/>
        <w:rPr>
          <w:rFonts w:ascii="仿宋_GB2312" w:hAnsi="黑体" w:eastAsia="仿宋_GB2312"/>
          <w:color w:val="auto"/>
          <w:sz w:val="32"/>
          <w:szCs w:val="32"/>
          <w:highlight w:val="none"/>
        </w:rPr>
      </w:pPr>
      <w:r>
        <w:rPr>
          <w:rFonts w:hint="eastAsia" w:ascii="仿宋_GB2312" w:hAnsi="宋体" w:eastAsia="仿宋_GB2312" w:cs="宋体"/>
          <w:color w:val="auto"/>
          <w:sz w:val="32"/>
          <w:szCs w:val="32"/>
          <w:highlight w:val="none"/>
        </w:rPr>
        <w:t>符合南山区产业发展战略和产业政策，</w:t>
      </w:r>
      <w:r>
        <w:rPr>
          <w:rFonts w:hint="eastAsia" w:ascii="仿宋_GB2312" w:hAnsi="宋体" w:eastAsia="仿宋_GB2312" w:cs="宋体"/>
          <w:color w:val="auto"/>
          <w:sz w:val="32"/>
          <w:szCs w:val="32"/>
          <w:highlight w:val="none"/>
          <w:lang w:val="en-US" w:eastAsia="zh-CN"/>
        </w:rPr>
        <w:t>在行业内具有重要影响力，能够推动南山经济发展</w:t>
      </w:r>
      <w:r>
        <w:rPr>
          <w:rFonts w:hint="eastAsia" w:ascii="仿宋_GB2312" w:hAnsi="宋体" w:eastAsia="仿宋_GB2312" w:cs="宋体"/>
          <w:color w:val="auto"/>
          <w:sz w:val="32"/>
          <w:szCs w:val="32"/>
          <w:highlight w:val="none"/>
        </w:rPr>
        <w:t>的重点企业。</w:t>
      </w:r>
    </w:p>
    <w:p>
      <w:pPr>
        <w:pStyle w:val="16"/>
        <w:keepNext w:val="0"/>
        <w:keepLines w:val="0"/>
        <w:pageBreakBefore w:val="0"/>
        <w:widowControl w:val="0"/>
        <w:numPr>
          <w:ilvl w:val="-1"/>
          <w:numId w:val="0"/>
        </w:numPr>
        <w:wordWrap/>
        <w:topLinePunct w:val="0"/>
        <w:bidi w:val="0"/>
        <w:adjustRightInd w:val="0"/>
        <w:snapToGrid w:val="0"/>
        <w:spacing w:beforeAutospacing="0" w:afterAutospacing="0" w:line="560" w:lineRule="exact"/>
        <w:ind w:left="0" w:leftChars="0" w:firstLine="643" w:firstLineChars="200"/>
        <w:rPr>
          <w:rFonts w:ascii="仿宋_GB2312" w:hAnsi="黑体" w:eastAsia="仿宋_GB2312"/>
          <w:color w:val="auto"/>
          <w:sz w:val="32"/>
          <w:szCs w:val="32"/>
          <w:highlight w:val="none"/>
        </w:rPr>
      </w:pPr>
      <w:r>
        <w:rPr>
          <w:rFonts w:hint="eastAsia" w:ascii="楷体_GB2312" w:hAnsi="楷体_GB2312" w:eastAsia="楷体_GB2312" w:cs="楷体_GB2312"/>
          <w:b/>
          <w:sz w:val="32"/>
          <w:szCs w:val="32"/>
          <w:highlight w:val="none"/>
        </w:rPr>
        <w:t>第</w:t>
      </w:r>
      <w:r>
        <w:rPr>
          <w:rFonts w:hint="eastAsia" w:ascii="楷体_GB2312" w:hAnsi="楷体_GB2312" w:eastAsia="楷体_GB2312" w:cs="楷体_GB2312"/>
          <w:b/>
          <w:sz w:val="32"/>
          <w:szCs w:val="32"/>
          <w:highlight w:val="none"/>
          <w:lang w:val="en-US" w:eastAsia="zh-CN"/>
        </w:rPr>
        <w:t>三</w:t>
      </w:r>
      <w:r>
        <w:rPr>
          <w:rFonts w:hint="eastAsia" w:ascii="楷体_GB2312" w:hAnsi="楷体_GB2312" w:eastAsia="楷体_GB2312" w:cs="楷体_GB2312"/>
          <w:b/>
          <w:sz w:val="32"/>
          <w:szCs w:val="32"/>
          <w:highlight w:val="none"/>
        </w:rPr>
        <w:t>条</w:t>
      </w:r>
      <w:r>
        <w:rPr>
          <w:rFonts w:hint="eastAsia" w:ascii="仿宋_GB2312" w:hAnsi="黑体" w:eastAsia="仿宋_GB2312"/>
          <w:color w:val="auto"/>
          <w:sz w:val="32"/>
          <w:szCs w:val="32"/>
          <w:highlight w:val="none"/>
        </w:rPr>
        <w:t xml:space="preserve">  总部企业从认定后次月起开始享受相关优惠扶持政策，对已认定的总部企业实行动态</w:t>
      </w:r>
      <w:r>
        <w:rPr>
          <w:rFonts w:hint="eastAsia" w:ascii="仿宋_GB2312" w:hAnsi="黑体" w:eastAsia="仿宋_GB2312"/>
          <w:color w:val="auto"/>
          <w:sz w:val="32"/>
          <w:szCs w:val="32"/>
          <w:highlight w:val="none"/>
          <w:lang w:val="en-US" w:eastAsia="zh-CN"/>
        </w:rPr>
        <w:t>调整机制</w:t>
      </w:r>
      <w:r>
        <w:rPr>
          <w:rFonts w:hint="eastAsia" w:ascii="仿宋_GB2312" w:hAnsi="黑体" w:eastAsia="仿宋_GB2312"/>
          <w:color w:val="auto"/>
          <w:sz w:val="32"/>
          <w:szCs w:val="32"/>
          <w:highlight w:val="none"/>
        </w:rPr>
        <w:t>，</w:t>
      </w:r>
      <w:r>
        <w:rPr>
          <w:rFonts w:hint="eastAsia" w:ascii="仿宋_GB2312" w:hAnsi="黑体" w:eastAsia="仿宋_GB2312"/>
          <w:color w:val="auto"/>
          <w:sz w:val="32"/>
          <w:szCs w:val="32"/>
          <w:highlight w:val="none"/>
          <w:lang w:val="en-US" w:eastAsia="zh-CN"/>
        </w:rPr>
        <w:t>一年复查不符合条件的企业，由区工业和信息化局进行约谈，连续两年复查不符合条件的企业，</w:t>
      </w:r>
      <w:r>
        <w:rPr>
          <w:rFonts w:hint="eastAsia" w:ascii="仿宋_GB2312" w:hAnsi="黑体" w:eastAsia="仿宋_GB2312"/>
          <w:color w:val="auto"/>
          <w:sz w:val="32"/>
          <w:szCs w:val="32"/>
          <w:highlight w:val="none"/>
        </w:rPr>
        <w:t>取消南山区总部企业资格。</w:t>
      </w:r>
    </w:p>
    <w:p>
      <w:pPr>
        <w:pStyle w:val="16"/>
        <w:keepNext w:val="0"/>
        <w:keepLines w:val="0"/>
        <w:pageBreakBefore w:val="0"/>
        <w:widowControl w:val="0"/>
        <w:numPr>
          <w:ilvl w:val="-1"/>
          <w:numId w:val="0"/>
        </w:numPr>
        <w:wordWrap/>
        <w:topLinePunct w:val="0"/>
        <w:bidi w:val="0"/>
        <w:adjustRightInd w:val="0"/>
        <w:snapToGrid w:val="0"/>
        <w:spacing w:beforeAutospacing="0" w:afterAutospacing="0" w:line="560" w:lineRule="exact"/>
        <w:ind w:left="0" w:leftChars="0" w:firstLine="643" w:firstLineChars="200"/>
        <w:rPr>
          <w:rFonts w:ascii="黑体" w:hAnsi="黑体" w:eastAsia="黑体"/>
          <w:color w:val="auto"/>
          <w:sz w:val="32"/>
          <w:szCs w:val="32"/>
          <w:highlight w:val="none"/>
        </w:rPr>
      </w:pPr>
      <w:r>
        <w:rPr>
          <w:rFonts w:hint="eastAsia" w:ascii="楷体_GB2312" w:hAnsi="楷体_GB2312" w:eastAsia="楷体_GB2312" w:cs="楷体_GB2312"/>
          <w:b/>
          <w:sz w:val="32"/>
          <w:szCs w:val="32"/>
          <w:highlight w:val="none"/>
        </w:rPr>
        <w:t>第</w:t>
      </w:r>
      <w:r>
        <w:rPr>
          <w:rFonts w:hint="eastAsia" w:ascii="楷体_GB2312" w:hAnsi="楷体_GB2312" w:eastAsia="楷体_GB2312" w:cs="楷体_GB2312"/>
          <w:b/>
          <w:sz w:val="32"/>
          <w:szCs w:val="32"/>
          <w:highlight w:val="none"/>
          <w:lang w:val="en-US" w:eastAsia="zh-CN"/>
        </w:rPr>
        <w:t>四</w:t>
      </w:r>
      <w:r>
        <w:rPr>
          <w:rFonts w:hint="eastAsia" w:ascii="楷体_GB2312" w:hAnsi="楷体_GB2312" w:eastAsia="楷体_GB2312" w:cs="楷体_GB2312"/>
          <w:b/>
          <w:sz w:val="32"/>
          <w:szCs w:val="32"/>
          <w:highlight w:val="none"/>
        </w:rPr>
        <w:t>条</w:t>
      </w:r>
      <w:r>
        <w:rPr>
          <w:rFonts w:hint="eastAsia" w:ascii="仿宋_GB2312" w:hAnsi="黑体" w:eastAsia="仿宋_GB2312"/>
          <w:color w:val="auto"/>
          <w:sz w:val="32"/>
          <w:szCs w:val="32"/>
          <w:highlight w:val="none"/>
        </w:rPr>
        <w:t xml:space="preserve">  区工业和信息化局负责牵头组织总部企业认定工作，对符合初审条件的企业，征求区发改局、区司法局、区财政局、区人资局、区应急管理局、区统计局、市生态环境局南山管理局等</w:t>
      </w:r>
      <w:r>
        <w:rPr>
          <w:rFonts w:ascii="仿宋_GB2312" w:hAnsi="黑体" w:eastAsia="仿宋_GB2312"/>
          <w:color w:val="auto"/>
          <w:sz w:val="32"/>
          <w:szCs w:val="32"/>
          <w:highlight w:val="none"/>
        </w:rPr>
        <w:t>单位</w:t>
      </w:r>
      <w:r>
        <w:rPr>
          <w:rFonts w:hint="eastAsia" w:ascii="仿宋_GB2312" w:hAnsi="黑体" w:eastAsia="仿宋_GB2312"/>
          <w:color w:val="auto"/>
          <w:sz w:val="32"/>
          <w:szCs w:val="32"/>
          <w:highlight w:val="none"/>
        </w:rPr>
        <w:t>意见后</w:t>
      </w:r>
      <w:r>
        <w:rPr>
          <w:rFonts w:hint="eastAsia" w:ascii="仿宋_GB2312" w:hAnsi="黑体" w:eastAsia="仿宋_GB2312"/>
          <w:color w:val="auto"/>
          <w:sz w:val="32"/>
          <w:szCs w:val="32"/>
          <w:highlight w:val="none"/>
          <w:lang w:eastAsia="zh-CN"/>
        </w:rPr>
        <w:t>，</w:t>
      </w:r>
      <w:r>
        <w:rPr>
          <w:rFonts w:hint="eastAsia" w:ascii="仿宋_GB2312" w:hAnsi="黑体" w:eastAsia="仿宋_GB2312"/>
          <w:color w:val="auto"/>
          <w:sz w:val="32"/>
          <w:szCs w:val="32"/>
          <w:highlight w:val="none"/>
          <w:lang w:val="en-US" w:eastAsia="zh-CN"/>
        </w:rPr>
        <w:t>报区自主创新产业发展专项资金领导小组专责小组会议审议同意，</w:t>
      </w:r>
      <w:r>
        <w:rPr>
          <w:rFonts w:hint="eastAsia" w:ascii="仿宋_GB2312" w:hAnsi="黑体" w:eastAsia="仿宋_GB2312"/>
          <w:color w:val="auto"/>
          <w:sz w:val="32"/>
          <w:szCs w:val="32"/>
          <w:highlight w:val="none"/>
        </w:rPr>
        <w:t>再报请区长审批后即可认定为南山区总部企业；符合本</w:t>
      </w:r>
      <w:r>
        <w:rPr>
          <w:rFonts w:hint="eastAsia" w:ascii="仿宋_GB2312" w:hAnsi="黑体" w:eastAsia="仿宋_GB2312"/>
          <w:color w:val="auto"/>
          <w:sz w:val="32"/>
          <w:szCs w:val="32"/>
          <w:highlight w:val="none"/>
          <w:lang w:eastAsia="zh-CN"/>
        </w:rPr>
        <w:t>措施</w:t>
      </w:r>
      <w:r>
        <w:rPr>
          <w:rFonts w:hint="eastAsia" w:ascii="仿宋_GB2312" w:hAnsi="黑体" w:eastAsia="仿宋_GB2312"/>
          <w:color w:val="auto"/>
          <w:sz w:val="32"/>
          <w:szCs w:val="32"/>
          <w:highlight w:val="none"/>
        </w:rPr>
        <w:t>第二条第（</w:t>
      </w:r>
      <w:r>
        <w:rPr>
          <w:rFonts w:hint="eastAsia" w:ascii="仿宋_GB2312" w:hAnsi="黑体" w:eastAsia="仿宋_GB2312"/>
          <w:color w:val="auto"/>
          <w:sz w:val="32"/>
          <w:szCs w:val="32"/>
          <w:highlight w:val="none"/>
          <w:lang w:val="en-US" w:eastAsia="zh-CN"/>
        </w:rPr>
        <w:t>九</w:t>
      </w:r>
      <w:r>
        <w:rPr>
          <w:rFonts w:hint="eastAsia" w:ascii="仿宋_GB2312" w:hAnsi="黑体" w:eastAsia="仿宋_GB2312"/>
          <w:color w:val="auto"/>
          <w:sz w:val="32"/>
          <w:szCs w:val="32"/>
          <w:highlight w:val="none"/>
        </w:rPr>
        <w:t>）款情形的企业，报区</w:t>
      </w:r>
      <w:r>
        <w:rPr>
          <w:rFonts w:hint="eastAsia" w:ascii="仿宋_GB2312" w:hAnsi="黑体" w:eastAsia="仿宋_GB2312"/>
          <w:color w:val="auto"/>
          <w:sz w:val="32"/>
          <w:szCs w:val="32"/>
          <w:highlight w:val="none"/>
          <w:lang w:val="en-US" w:eastAsia="zh-CN"/>
        </w:rPr>
        <w:t>自主创新产业发展专项资金领导小组</w:t>
      </w:r>
      <w:r>
        <w:rPr>
          <w:rFonts w:hint="eastAsia" w:ascii="仿宋_GB2312" w:hAnsi="黑体" w:eastAsia="仿宋_GB2312"/>
          <w:color w:val="auto"/>
          <w:sz w:val="32"/>
          <w:szCs w:val="32"/>
          <w:highlight w:val="none"/>
        </w:rPr>
        <w:t>审议通过后，方可认定为南山区总部企业。</w:t>
      </w:r>
    </w:p>
    <w:p>
      <w:pPr>
        <w:pStyle w:val="16"/>
        <w:keepNext w:val="0"/>
        <w:keepLines w:val="0"/>
        <w:pageBreakBefore w:val="0"/>
        <w:widowControl w:val="0"/>
        <w:wordWrap/>
        <w:topLinePunct w:val="0"/>
        <w:bidi w:val="0"/>
        <w:adjustRightInd w:val="0"/>
        <w:snapToGrid w:val="0"/>
        <w:spacing w:beforeAutospacing="0" w:afterAutospacing="0" w:line="560" w:lineRule="exact"/>
        <w:ind w:left="0" w:leftChars="0" w:firstLine="0" w:firstLineChars="0"/>
        <w:rPr>
          <w:rFonts w:ascii="黑体" w:hAnsi="黑体" w:eastAsia="黑体"/>
          <w:color w:val="auto"/>
          <w:sz w:val="32"/>
          <w:szCs w:val="32"/>
          <w:highlight w:val="none"/>
        </w:rPr>
      </w:pPr>
    </w:p>
    <w:p>
      <w:pPr>
        <w:pStyle w:val="16"/>
        <w:keepNext w:val="0"/>
        <w:keepLines w:val="0"/>
        <w:pageBreakBefore w:val="0"/>
        <w:widowControl w:val="0"/>
        <w:numPr>
          <w:ilvl w:val="0"/>
          <w:numId w:val="0"/>
        </w:numPr>
        <w:wordWrap/>
        <w:topLinePunct w:val="0"/>
        <w:bidi w:val="0"/>
        <w:adjustRightInd w:val="0"/>
        <w:snapToGrid w:val="0"/>
        <w:spacing w:beforeAutospacing="0" w:afterAutospacing="0" w:line="560" w:lineRule="exact"/>
        <w:ind w:left="0" w:leftChars="0"/>
        <w:jc w:val="center"/>
        <w:outlineLvl w:val="0"/>
        <w:rPr>
          <w:rFonts w:ascii="黑体" w:hAnsi="黑体" w:eastAsia="黑体"/>
          <w:color w:val="auto"/>
          <w:sz w:val="32"/>
          <w:szCs w:val="32"/>
          <w:highlight w:val="none"/>
        </w:rPr>
      </w:pPr>
      <w:bookmarkStart w:id="342" w:name="_Toc29084"/>
      <w:r>
        <w:rPr>
          <w:rFonts w:hint="eastAsia" w:ascii="黑体" w:hAnsi="黑体" w:eastAsia="黑体"/>
          <w:color w:val="auto"/>
          <w:sz w:val="32"/>
          <w:szCs w:val="32"/>
          <w:highlight w:val="none"/>
          <w:lang w:val="en-US" w:eastAsia="zh-CN"/>
        </w:rPr>
        <w:t>第二章</w:t>
      </w:r>
      <w:r>
        <w:rPr>
          <w:rFonts w:hint="eastAsia" w:ascii="黑体" w:hAnsi="黑体" w:eastAsia="黑体"/>
          <w:color w:val="auto"/>
          <w:sz w:val="32"/>
          <w:szCs w:val="32"/>
          <w:highlight w:val="none"/>
        </w:rPr>
        <w:t xml:space="preserve">  </w:t>
      </w:r>
      <w:bookmarkStart w:id="343" w:name="_Toc14660"/>
      <w:bookmarkStart w:id="344" w:name="_Toc28507"/>
      <w:r>
        <w:rPr>
          <w:rFonts w:hint="eastAsia" w:ascii="黑体" w:hAnsi="黑体" w:eastAsia="黑体"/>
          <w:color w:val="auto"/>
          <w:sz w:val="32"/>
          <w:szCs w:val="32"/>
          <w:highlight w:val="none"/>
        </w:rPr>
        <w:t>扶持政策</w:t>
      </w:r>
      <w:bookmarkEnd w:id="342"/>
      <w:bookmarkEnd w:id="343"/>
      <w:bookmarkEnd w:id="344"/>
    </w:p>
    <w:p>
      <w:pPr>
        <w:pStyle w:val="16"/>
        <w:keepNext w:val="0"/>
        <w:keepLines w:val="0"/>
        <w:pageBreakBefore w:val="0"/>
        <w:widowControl w:val="0"/>
        <w:wordWrap/>
        <w:topLinePunct w:val="0"/>
        <w:bidi w:val="0"/>
        <w:adjustRightInd w:val="0"/>
        <w:snapToGrid w:val="0"/>
        <w:spacing w:beforeAutospacing="0" w:afterAutospacing="0" w:line="560" w:lineRule="exact"/>
        <w:ind w:left="0" w:leftChars="0" w:firstLine="0" w:firstLineChars="0"/>
        <w:rPr>
          <w:rFonts w:ascii="黑体" w:hAnsi="黑体" w:eastAsia="黑体"/>
          <w:color w:val="auto"/>
          <w:sz w:val="32"/>
          <w:szCs w:val="32"/>
          <w:highlight w:val="none"/>
        </w:rPr>
      </w:pPr>
    </w:p>
    <w:p>
      <w:pPr>
        <w:pStyle w:val="3"/>
        <w:keepNext w:val="0"/>
        <w:keepLines w:val="0"/>
        <w:pageBreakBefore w:val="0"/>
        <w:widowControl w:val="0"/>
        <w:numPr>
          <w:ilvl w:val="-1"/>
          <w:numId w:val="0"/>
        </w:numPr>
        <w:wordWrap/>
        <w:topLinePunct w:val="0"/>
        <w:bidi w:val="0"/>
        <w:adjustRightInd w:val="0"/>
        <w:snapToGrid w:val="0"/>
        <w:spacing w:before="0" w:beforeLines="0" w:beforeAutospacing="0" w:after="0" w:afterLines="0" w:afterAutospacing="0" w:line="560" w:lineRule="exact"/>
        <w:ind w:left="0" w:leftChars="0" w:firstLine="643" w:firstLineChars="200"/>
        <w:rPr>
          <w:rFonts w:hint="eastAsia" w:ascii="楷体_GB2312" w:hAnsi="楷体_GB2312" w:eastAsia="楷体_GB2312" w:cs="楷体_GB2312"/>
          <w:color w:val="auto"/>
          <w:sz w:val="32"/>
          <w:szCs w:val="24"/>
          <w:highlight w:val="none"/>
        </w:rPr>
      </w:pPr>
      <w:bookmarkStart w:id="345" w:name="_Toc30895"/>
      <w:bookmarkStart w:id="346" w:name="_Toc29291"/>
      <w:r>
        <w:rPr>
          <w:rFonts w:hint="eastAsia" w:ascii="楷体_GB2312" w:hAnsi="楷体_GB2312" w:eastAsia="楷体_GB2312" w:cs="楷体_GB2312"/>
          <w:sz w:val="32"/>
          <w:szCs w:val="24"/>
          <w:highlight w:val="none"/>
          <w:lang w:val="en-US" w:eastAsia="zh-CN"/>
        </w:rPr>
        <w:t xml:space="preserve">第五条  </w:t>
      </w:r>
      <w:r>
        <w:rPr>
          <w:rFonts w:hint="eastAsia" w:ascii="楷体_GB2312" w:hAnsi="楷体_GB2312" w:eastAsia="楷体_GB2312" w:cs="楷体_GB2312"/>
          <w:color w:val="auto"/>
          <w:sz w:val="32"/>
          <w:szCs w:val="24"/>
          <w:highlight w:val="none"/>
          <w:lang w:val="en-US" w:eastAsia="zh-CN"/>
        </w:rPr>
        <w:t>贡献增长</w:t>
      </w:r>
      <w:r>
        <w:rPr>
          <w:rFonts w:hint="eastAsia" w:ascii="楷体_GB2312" w:hAnsi="楷体_GB2312" w:eastAsia="楷体_GB2312" w:cs="楷体_GB2312"/>
          <w:color w:val="auto"/>
          <w:sz w:val="32"/>
          <w:szCs w:val="24"/>
          <w:highlight w:val="none"/>
        </w:rPr>
        <w:t>奖励</w:t>
      </w:r>
      <w:bookmarkEnd w:id="345"/>
      <w:bookmarkEnd w:id="346"/>
    </w:p>
    <w:p>
      <w:pPr>
        <w:pStyle w:val="16"/>
        <w:keepNext w:val="0"/>
        <w:keepLines w:val="0"/>
        <w:pageBreakBefore w:val="0"/>
        <w:widowControl w:val="0"/>
        <w:wordWrap/>
        <w:topLinePunct w:val="0"/>
        <w:bidi w:val="0"/>
        <w:adjustRightInd w:val="0"/>
        <w:snapToGrid w:val="0"/>
        <w:spacing w:beforeAutospacing="0" w:afterAutospacing="0" w:line="560" w:lineRule="exact"/>
        <w:ind w:left="0" w:leftChars="0" w:firstLine="640"/>
        <w:rPr>
          <w:rFonts w:ascii="仿宋_GB2312" w:eastAsia="仿宋_GB2312"/>
          <w:color w:val="auto"/>
          <w:sz w:val="32"/>
          <w:szCs w:val="32"/>
          <w:highlight w:val="none"/>
        </w:rPr>
      </w:pPr>
      <w:r>
        <w:rPr>
          <w:rFonts w:hint="eastAsia" w:ascii="仿宋_GB2312" w:eastAsia="仿宋_GB2312" w:hAnsiTheme="minorHAnsi" w:cstheme="minorBidi"/>
          <w:color w:val="auto"/>
          <w:sz w:val="32"/>
          <w:szCs w:val="32"/>
          <w:highlight w:val="none"/>
        </w:rPr>
        <w:t>对纳入南山区统计核算的产值规模（营业收入）和综合贡献连续两年均保持正增长的区总部企业，按照综合贡献增长额分档，以产值规模（营业收入）增长额的一定比例分档给予奖励，每家企业每年最高2000万元。</w:t>
      </w:r>
    </w:p>
    <w:p>
      <w:pPr>
        <w:pStyle w:val="3"/>
        <w:keepNext w:val="0"/>
        <w:keepLines w:val="0"/>
        <w:pageBreakBefore w:val="0"/>
        <w:widowControl w:val="0"/>
        <w:numPr>
          <w:ilvl w:val="-1"/>
          <w:numId w:val="0"/>
        </w:numPr>
        <w:wordWrap/>
        <w:topLinePunct w:val="0"/>
        <w:bidi w:val="0"/>
        <w:adjustRightInd w:val="0"/>
        <w:snapToGrid w:val="0"/>
        <w:spacing w:before="0" w:beforeLines="0" w:beforeAutospacing="0" w:after="0" w:afterLines="0" w:afterAutospacing="0" w:line="560" w:lineRule="exact"/>
        <w:ind w:left="0" w:leftChars="0" w:firstLine="643" w:firstLineChars="200"/>
        <w:rPr>
          <w:rFonts w:hint="eastAsia" w:ascii="楷体_GB2312" w:hAnsi="楷体_GB2312" w:eastAsia="楷体_GB2312" w:cs="楷体_GB2312"/>
          <w:color w:val="auto"/>
          <w:sz w:val="32"/>
          <w:szCs w:val="24"/>
          <w:highlight w:val="none"/>
        </w:rPr>
      </w:pPr>
      <w:bookmarkStart w:id="347" w:name="_Toc23525"/>
      <w:bookmarkStart w:id="348" w:name="_Toc20277"/>
      <w:r>
        <w:rPr>
          <w:rFonts w:hint="eastAsia" w:ascii="楷体_GB2312" w:hAnsi="楷体_GB2312" w:eastAsia="楷体_GB2312" w:cs="楷体_GB2312"/>
          <w:sz w:val="32"/>
          <w:szCs w:val="24"/>
          <w:highlight w:val="none"/>
          <w:lang w:val="en-US" w:eastAsia="zh-CN"/>
        </w:rPr>
        <w:t xml:space="preserve">第六条  </w:t>
      </w:r>
      <w:r>
        <w:rPr>
          <w:rFonts w:hint="eastAsia" w:ascii="楷体_GB2312" w:hAnsi="楷体_GB2312" w:eastAsia="楷体_GB2312" w:cs="楷体_GB2312"/>
          <w:color w:val="auto"/>
          <w:sz w:val="32"/>
          <w:szCs w:val="24"/>
          <w:highlight w:val="none"/>
        </w:rPr>
        <w:t>社会型产业用房扶持</w:t>
      </w:r>
      <w:bookmarkEnd w:id="347"/>
      <w:bookmarkEnd w:id="348"/>
    </w:p>
    <w:p>
      <w:pPr>
        <w:keepNext w:val="0"/>
        <w:keepLines w:val="0"/>
        <w:pageBreakBefore w:val="0"/>
        <w:widowControl w:val="0"/>
        <w:numPr>
          <w:ilvl w:val="255"/>
          <w:numId w:val="0"/>
        </w:numPr>
        <w:wordWrap/>
        <w:topLinePunct w:val="0"/>
        <w:bidi w:val="0"/>
        <w:adjustRightInd w:val="0"/>
        <w:snapToGrid w:val="0"/>
        <w:spacing w:beforeAutospacing="0" w:afterAutospacing="0" w:line="560" w:lineRule="exact"/>
        <w:ind w:left="0" w:leftChars="0" w:firstLine="639"/>
        <w:rPr>
          <w:rFonts w:ascii="仿宋_GB2312" w:hAnsi="Calibri" w:eastAsia="仿宋_GB2312" w:cs="Times New Roman"/>
          <w:color w:val="auto"/>
          <w:sz w:val="32"/>
          <w:szCs w:val="32"/>
          <w:highlight w:val="none"/>
        </w:rPr>
      </w:pPr>
      <w:r>
        <w:rPr>
          <w:rFonts w:hint="eastAsia" w:ascii="仿宋_GB2312" w:hAnsi="Calibri" w:eastAsia="仿宋_GB2312" w:cs="Times New Roman"/>
          <w:color w:val="auto"/>
          <w:sz w:val="32"/>
          <w:szCs w:val="32"/>
          <w:highlight w:val="none"/>
        </w:rPr>
        <w:t>对符合条件的区总部企业在南山区购置自用办公用房（不含南山区</w:t>
      </w:r>
      <w:r>
        <w:rPr>
          <w:rFonts w:hint="eastAsia" w:ascii="仿宋_GB2312" w:hAnsi="Calibri" w:eastAsia="仿宋_GB2312" w:cs="Times New Roman"/>
          <w:color w:val="auto"/>
          <w:sz w:val="32"/>
          <w:szCs w:val="32"/>
          <w:highlight w:val="none"/>
          <w:lang w:val="en-US" w:eastAsia="zh-CN"/>
        </w:rPr>
        <w:t>政策性</w:t>
      </w:r>
      <w:r>
        <w:rPr>
          <w:rFonts w:hint="eastAsia" w:ascii="仿宋_GB2312" w:hAnsi="Calibri" w:eastAsia="仿宋_GB2312" w:cs="Times New Roman"/>
          <w:color w:val="auto"/>
          <w:sz w:val="32"/>
          <w:szCs w:val="32"/>
          <w:highlight w:val="none"/>
        </w:rPr>
        <w:t>产业用房）的，可按最高3000元/平方米的标准分3年给予补贴，每年最高1000万元，总额最高3000万元。</w:t>
      </w:r>
    </w:p>
    <w:p>
      <w:pPr>
        <w:keepNext w:val="0"/>
        <w:keepLines w:val="0"/>
        <w:pageBreakBefore w:val="0"/>
        <w:widowControl w:val="0"/>
        <w:numPr>
          <w:ilvl w:val="255"/>
          <w:numId w:val="0"/>
        </w:numPr>
        <w:wordWrap/>
        <w:topLinePunct w:val="0"/>
        <w:bidi w:val="0"/>
        <w:adjustRightInd w:val="0"/>
        <w:snapToGrid w:val="0"/>
        <w:spacing w:beforeAutospacing="0" w:afterAutospacing="0" w:line="560" w:lineRule="exact"/>
        <w:ind w:left="0" w:leftChars="0" w:firstLine="639"/>
        <w:rPr>
          <w:rStyle w:val="19"/>
          <w:rFonts w:hint="default"/>
          <w:color w:val="auto"/>
          <w:highlight w:val="none"/>
        </w:rPr>
      </w:pPr>
      <w:r>
        <w:rPr>
          <w:rFonts w:hint="eastAsia" w:ascii="仿宋_GB2312" w:hAnsi="Calibri" w:eastAsia="仿宋_GB2312" w:cs="Times New Roman"/>
          <w:color w:val="auto"/>
          <w:sz w:val="32"/>
          <w:szCs w:val="32"/>
          <w:highlight w:val="none"/>
        </w:rPr>
        <w:t>对符合条件的区总部企业在南山区租赁自用办公用房（不含南山区</w:t>
      </w:r>
      <w:r>
        <w:rPr>
          <w:rFonts w:hint="eastAsia" w:ascii="仿宋_GB2312" w:hAnsi="Calibri" w:eastAsia="仿宋_GB2312" w:cs="Times New Roman"/>
          <w:color w:val="auto"/>
          <w:sz w:val="32"/>
          <w:szCs w:val="32"/>
          <w:highlight w:val="none"/>
          <w:lang w:val="en-US" w:eastAsia="zh-CN"/>
        </w:rPr>
        <w:t>政策性</w:t>
      </w:r>
      <w:r>
        <w:rPr>
          <w:rFonts w:hint="eastAsia" w:ascii="仿宋_GB2312" w:hAnsi="Calibri" w:eastAsia="仿宋_GB2312" w:cs="Times New Roman"/>
          <w:color w:val="auto"/>
          <w:sz w:val="32"/>
          <w:szCs w:val="32"/>
          <w:highlight w:val="none"/>
        </w:rPr>
        <w:t>产业用房）的，分5年给予房租补贴，其中前3年每年按实际支付租金的30%给予补贴，每年最高400万元；后2年每年按实际支付租金的15%给予补贴，每年最高200万元</w:t>
      </w:r>
      <w:r>
        <w:rPr>
          <w:rStyle w:val="19"/>
          <w:rFonts w:hint="default"/>
          <w:color w:val="auto"/>
          <w:highlight w:val="none"/>
        </w:rPr>
        <w:t>。</w:t>
      </w:r>
    </w:p>
    <w:p>
      <w:pPr>
        <w:pStyle w:val="3"/>
        <w:keepNext w:val="0"/>
        <w:keepLines w:val="0"/>
        <w:pageBreakBefore w:val="0"/>
        <w:widowControl w:val="0"/>
        <w:numPr>
          <w:ilvl w:val="-1"/>
          <w:numId w:val="0"/>
        </w:numPr>
        <w:wordWrap/>
        <w:topLinePunct w:val="0"/>
        <w:bidi w:val="0"/>
        <w:adjustRightInd w:val="0"/>
        <w:snapToGrid w:val="0"/>
        <w:spacing w:before="0" w:beforeLines="0" w:beforeAutospacing="0" w:after="0" w:afterLines="0" w:afterAutospacing="0" w:line="560" w:lineRule="exact"/>
        <w:ind w:firstLine="643" w:firstLineChars="200"/>
        <w:rPr>
          <w:rFonts w:hint="eastAsia" w:ascii="楷体_GB2312" w:hAnsi="楷体_GB2312" w:eastAsia="楷体_GB2312" w:cs="楷体_GB2312"/>
          <w:color w:val="auto"/>
          <w:sz w:val="32"/>
          <w:szCs w:val="24"/>
          <w:highlight w:val="none"/>
        </w:rPr>
      </w:pPr>
      <w:bookmarkStart w:id="349" w:name="_Toc13665"/>
      <w:bookmarkStart w:id="350" w:name="_Toc16903"/>
      <w:r>
        <w:rPr>
          <w:rFonts w:hint="eastAsia" w:ascii="楷体_GB2312" w:hAnsi="楷体_GB2312" w:eastAsia="楷体_GB2312" w:cs="楷体_GB2312"/>
          <w:sz w:val="32"/>
          <w:szCs w:val="24"/>
          <w:highlight w:val="none"/>
          <w:lang w:val="en-US" w:eastAsia="zh-CN"/>
        </w:rPr>
        <w:t xml:space="preserve">第七条  </w:t>
      </w:r>
      <w:r>
        <w:rPr>
          <w:rFonts w:hint="eastAsia" w:ascii="楷体_GB2312" w:hAnsi="楷体_GB2312" w:eastAsia="楷体_GB2312" w:cs="楷体_GB2312"/>
          <w:color w:val="auto"/>
          <w:sz w:val="32"/>
          <w:szCs w:val="24"/>
          <w:highlight w:val="none"/>
          <w:lang w:val="en-US" w:eastAsia="zh-CN"/>
        </w:rPr>
        <w:t>政策性</w:t>
      </w:r>
      <w:r>
        <w:rPr>
          <w:rFonts w:hint="eastAsia" w:ascii="楷体_GB2312" w:hAnsi="楷体_GB2312" w:eastAsia="楷体_GB2312" w:cs="楷体_GB2312"/>
          <w:color w:val="auto"/>
          <w:sz w:val="32"/>
          <w:szCs w:val="24"/>
          <w:highlight w:val="none"/>
        </w:rPr>
        <w:t>产业用房扶持</w:t>
      </w:r>
      <w:bookmarkEnd w:id="349"/>
      <w:bookmarkEnd w:id="350"/>
    </w:p>
    <w:p>
      <w:pPr>
        <w:keepNext w:val="0"/>
        <w:keepLines w:val="0"/>
        <w:pageBreakBefore w:val="0"/>
        <w:widowControl w:val="0"/>
        <w:wordWrap/>
        <w:topLinePunct w:val="0"/>
        <w:bidi w:val="0"/>
        <w:adjustRightInd w:val="0"/>
        <w:snapToGrid w:val="0"/>
        <w:spacing w:beforeAutospacing="0" w:afterAutospacing="0" w:line="560" w:lineRule="exact"/>
        <w:ind w:left="0" w:leftChars="0"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区总部企业可申请租用创新型产业用房</w:t>
      </w:r>
      <w:r>
        <w:rPr>
          <w:rFonts w:hint="eastAsia" w:ascii="仿宋_GB2312" w:eastAsia="仿宋_GB2312"/>
          <w:color w:val="auto"/>
          <w:sz w:val="32"/>
          <w:szCs w:val="32"/>
          <w:highlight w:val="none"/>
          <w:lang w:val="en-US" w:eastAsia="zh-CN"/>
        </w:rPr>
        <w:t>和国资国企产业空间，按规定给予相应租金优惠，最低可按市场评估价的30%予以租赁</w:t>
      </w:r>
      <w:r>
        <w:rPr>
          <w:rFonts w:hint="eastAsia" w:ascii="仿宋_GB2312" w:eastAsia="仿宋_GB2312"/>
          <w:color w:val="auto"/>
          <w:sz w:val="32"/>
          <w:szCs w:val="32"/>
          <w:highlight w:val="none"/>
        </w:rPr>
        <w:t>。具体政策措施参照《南山区创新型产业用房管理办法》</w:t>
      </w:r>
      <w:r>
        <w:rPr>
          <w:rFonts w:hint="eastAsia" w:ascii="仿宋_GB2312" w:eastAsia="仿宋_GB2312"/>
          <w:color w:val="auto"/>
          <w:sz w:val="32"/>
          <w:szCs w:val="32"/>
          <w:highlight w:val="none"/>
          <w:lang w:val="en-US" w:eastAsia="zh-CN"/>
        </w:rPr>
        <w:t>等相关规定</w:t>
      </w:r>
      <w:r>
        <w:rPr>
          <w:rFonts w:hint="eastAsia" w:ascii="仿宋_GB2312" w:eastAsia="仿宋_GB2312"/>
          <w:color w:val="auto"/>
          <w:sz w:val="32"/>
          <w:szCs w:val="32"/>
          <w:highlight w:val="none"/>
        </w:rPr>
        <w:t>执行。</w:t>
      </w:r>
    </w:p>
    <w:p>
      <w:pPr>
        <w:pStyle w:val="3"/>
        <w:keepNext w:val="0"/>
        <w:keepLines w:val="0"/>
        <w:pageBreakBefore w:val="0"/>
        <w:widowControl w:val="0"/>
        <w:numPr>
          <w:ilvl w:val="-1"/>
          <w:numId w:val="0"/>
        </w:numPr>
        <w:wordWrap/>
        <w:topLinePunct w:val="0"/>
        <w:bidi w:val="0"/>
        <w:adjustRightInd w:val="0"/>
        <w:snapToGrid w:val="0"/>
        <w:spacing w:before="0" w:beforeLines="0" w:beforeAutospacing="0" w:after="0" w:afterLines="0" w:afterAutospacing="0" w:line="560" w:lineRule="exact"/>
        <w:ind w:left="0" w:leftChars="0" w:firstLine="0" w:firstLineChars="0"/>
        <w:rPr>
          <w:rFonts w:hint="eastAsia" w:ascii="楷体_GB2312" w:hAnsi="楷体_GB2312" w:eastAsia="楷体_GB2312" w:cs="楷体_GB2312"/>
          <w:color w:val="auto"/>
          <w:sz w:val="32"/>
          <w:szCs w:val="24"/>
          <w:highlight w:val="none"/>
        </w:rPr>
      </w:pPr>
      <w:r>
        <w:rPr>
          <w:rFonts w:hint="eastAsia" w:ascii="楷体_GB2312" w:hAnsi="楷体_GB2312" w:eastAsia="楷体_GB2312" w:cs="楷体_GB2312"/>
          <w:sz w:val="32"/>
          <w:szCs w:val="24"/>
          <w:highlight w:val="none"/>
        </w:rPr>
        <w:t xml:space="preserve"> </w:t>
      </w:r>
      <w:bookmarkStart w:id="351" w:name="_Toc6722"/>
      <w:bookmarkStart w:id="352" w:name="_Toc10286"/>
      <w:r>
        <w:rPr>
          <w:rFonts w:hint="eastAsia" w:ascii="楷体_GB2312" w:hAnsi="楷体_GB2312" w:eastAsia="楷体_GB2312" w:cs="楷体_GB2312"/>
          <w:sz w:val="32"/>
          <w:szCs w:val="24"/>
          <w:highlight w:val="none"/>
          <w:lang w:val="en-US" w:eastAsia="zh-CN"/>
        </w:rPr>
        <w:t xml:space="preserve">  第八条  </w:t>
      </w:r>
      <w:r>
        <w:rPr>
          <w:rFonts w:hint="eastAsia" w:ascii="楷体_GB2312" w:hAnsi="楷体_GB2312" w:eastAsia="楷体_GB2312" w:cs="楷体_GB2312"/>
          <w:color w:val="auto"/>
          <w:sz w:val="32"/>
          <w:szCs w:val="24"/>
          <w:highlight w:val="none"/>
          <w:lang w:val="en-US" w:eastAsia="zh-CN"/>
        </w:rPr>
        <w:t>产业用地支持</w:t>
      </w:r>
      <w:bookmarkEnd w:id="351"/>
      <w:bookmarkEnd w:id="352"/>
    </w:p>
    <w:p>
      <w:pPr>
        <w:keepNext w:val="0"/>
        <w:keepLines w:val="0"/>
        <w:pageBreakBefore w:val="0"/>
        <w:widowControl w:val="0"/>
        <w:wordWrap/>
        <w:topLinePunct w:val="0"/>
        <w:bidi w:val="0"/>
        <w:adjustRightInd w:val="0"/>
        <w:snapToGrid w:val="0"/>
        <w:spacing w:beforeAutospacing="0" w:afterAutospacing="0" w:line="560" w:lineRule="exact"/>
        <w:ind w:left="0" w:leftChars="0"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符合条件的区总部企业可申请纳入南山区总部项目和重点产业项目遴选，独立或联合申请建设总部大厦。总部大厦建筑规模与企业对南山区地方贡献相匹配，以自用为主。</w:t>
      </w:r>
    </w:p>
    <w:p>
      <w:pPr>
        <w:pStyle w:val="3"/>
        <w:keepNext w:val="0"/>
        <w:keepLines w:val="0"/>
        <w:pageBreakBefore w:val="0"/>
        <w:widowControl w:val="0"/>
        <w:numPr>
          <w:ilvl w:val="-1"/>
          <w:numId w:val="0"/>
        </w:numPr>
        <w:wordWrap/>
        <w:topLinePunct w:val="0"/>
        <w:bidi w:val="0"/>
        <w:adjustRightInd w:val="0"/>
        <w:snapToGrid w:val="0"/>
        <w:spacing w:before="0" w:beforeLines="0" w:beforeAutospacing="0" w:after="0" w:afterLines="0" w:afterAutospacing="0" w:line="560" w:lineRule="exact"/>
        <w:ind w:left="0" w:leftChars="0" w:firstLine="0" w:firstLineChars="0"/>
        <w:rPr>
          <w:rFonts w:hint="eastAsia" w:ascii="楷体_GB2312" w:hAnsi="楷体_GB2312" w:eastAsia="楷体_GB2312" w:cs="楷体_GB2312"/>
          <w:color w:val="auto"/>
          <w:sz w:val="32"/>
          <w:szCs w:val="24"/>
          <w:highlight w:val="none"/>
        </w:rPr>
      </w:pPr>
      <w:r>
        <w:rPr>
          <w:rFonts w:hint="eastAsia" w:ascii="楷体_GB2312" w:hAnsi="楷体_GB2312" w:eastAsia="楷体_GB2312" w:cs="楷体_GB2312"/>
          <w:sz w:val="32"/>
          <w:szCs w:val="24"/>
          <w:highlight w:val="none"/>
        </w:rPr>
        <w:t xml:space="preserve"> </w:t>
      </w:r>
      <w:bookmarkStart w:id="353" w:name="_Toc26517"/>
      <w:r>
        <w:rPr>
          <w:rFonts w:hint="eastAsia" w:ascii="楷体_GB2312" w:hAnsi="楷体_GB2312" w:eastAsia="楷体_GB2312" w:cs="楷体_GB2312"/>
          <w:sz w:val="32"/>
          <w:szCs w:val="24"/>
          <w:highlight w:val="none"/>
          <w:lang w:val="en-US" w:eastAsia="zh-CN"/>
        </w:rPr>
        <w:t xml:space="preserve">  第九条  </w:t>
      </w:r>
      <w:r>
        <w:rPr>
          <w:rFonts w:hint="eastAsia" w:ascii="楷体_GB2312" w:hAnsi="楷体_GB2312" w:eastAsia="楷体_GB2312" w:cs="楷体_GB2312"/>
          <w:color w:val="auto"/>
          <w:sz w:val="32"/>
          <w:szCs w:val="24"/>
          <w:highlight w:val="none"/>
        </w:rPr>
        <w:t>绿色通道服务</w:t>
      </w:r>
      <w:bookmarkEnd w:id="353"/>
    </w:p>
    <w:p>
      <w:pPr>
        <w:pStyle w:val="16"/>
        <w:keepNext w:val="0"/>
        <w:keepLines w:val="0"/>
        <w:pageBreakBefore w:val="0"/>
        <w:widowControl w:val="0"/>
        <w:wordWrap/>
        <w:topLinePunct w:val="0"/>
        <w:bidi w:val="0"/>
        <w:adjustRightInd w:val="0"/>
        <w:snapToGrid w:val="0"/>
        <w:spacing w:beforeAutospacing="0" w:afterAutospacing="0" w:line="560" w:lineRule="exact"/>
        <w:ind w:left="0" w:leftChars="0" w:firstLine="640"/>
        <w:rPr>
          <w:rFonts w:ascii="仿宋_GB2312" w:eastAsia="仿宋_GB2312"/>
          <w:color w:val="auto"/>
          <w:sz w:val="32"/>
          <w:szCs w:val="32"/>
          <w:highlight w:val="none"/>
        </w:rPr>
      </w:pPr>
      <w:r>
        <w:rPr>
          <w:rFonts w:hint="eastAsia" w:ascii="仿宋_GB2312" w:eastAsia="仿宋_GB2312"/>
          <w:color w:val="auto"/>
          <w:sz w:val="32"/>
          <w:szCs w:val="32"/>
          <w:highlight w:val="none"/>
        </w:rPr>
        <w:t>区总部企业可被推荐</w:t>
      </w:r>
      <w:r>
        <w:rPr>
          <w:rFonts w:hint="eastAsia" w:ascii="仿宋_GB2312" w:eastAsia="仿宋_GB2312"/>
          <w:color w:val="auto"/>
          <w:sz w:val="32"/>
          <w:szCs w:val="32"/>
          <w:highlight w:val="none"/>
          <w:lang w:val="zh-CN"/>
        </w:rPr>
        <w:t>为绿色通道企业，</w:t>
      </w:r>
      <w:r>
        <w:rPr>
          <w:rFonts w:hint="eastAsia" w:ascii="仿宋_GB2312" w:eastAsia="仿宋_GB2312"/>
          <w:color w:val="auto"/>
          <w:sz w:val="32"/>
          <w:szCs w:val="32"/>
          <w:highlight w:val="none"/>
        </w:rPr>
        <w:t>纳入绿色通道服务，按照有关规定享受快捷政务、</w:t>
      </w:r>
      <w:r>
        <w:rPr>
          <w:rFonts w:hint="eastAsia" w:ascii="仿宋_GB2312" w:eastAsia="仿宋_GB2312"/>
          <w:color w:val="auto"/>
          <w:sz w:val="32"/>
          <w:szCs w:val="32"/>
          <w:highlight w:val="none"/>
          <w:lang w:val="en-US" w:eastAsia="zh-CN"/>
        </w:rPr>
        <w:t>税务办理、</w:t>
      </w:r>
      <w:r>
        <w:rPr>
          <w:rFonts w:hint="eastAsia" w:ascii="仿宋_GB2312" w:eastAsia="仿宋_GB2312"/>
          <w:color w:val="auto"/>
          <w:sz w:val="32"/>
          <w:szCs w:val="32"/>
          <w:highlight w:val="none"/>
        </w:rPr>
        <w:t>上市引导</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高管医疗保障和子女入学</w:t>
      </w:r>
      <w:r>
        <w:rPr>
          <w:rFonts w:hint="eastAsia" w:ascii="仿宋_GB2312" w:eastAsia="仿宋_GB2312"/>
          <w:color w:val="auto"/>
          <w:sz w:val="32"/>
          <w:szCs w:val="32"/>
          <w:highlight w:val="none"/>
        </w:rPr>
        <w:t>等便利服务。</w:t>
      </w:r>
    </w:p>
    <w:p>
      <w:pPr>
        <w:pStyle w:val="3"/>
        <w:keepNext w:val="0"/>
        <w:keepLines w:val="0"/>
        <w:pageBreakBefore w:val="0"/>
        <w:widowControl w:val="0"/>
        <w:numPr>
          <w:ilvl w:val="-1"/>
          <w:numId w:val="0"/>
        </w:numPr>
        <w:wordWrap/>
        <w:topLinePunct w:val="0"/>
        <w:bidi w:val="0"/>
        <w:adjustRightInd w:val="0"/>
        <w:snapToGrid w:val="0"/>
        <w:spacing w:before="0" w:beforeLines="0" w:beforeAutospacing="0" w:after="0" w:afterLines="0" w:afterAutospacing="0" w:line="560" w:lineRule="exact"/>
        <w:ind w:left="0" w:leftChars="0" w:firstLine="643" w:firstLineChars="200"/>
        <w:rPr>
          <w:rFonts w:hint="eastAsia" w:ascii="楷体_GB2312" w:hAnsi="楷体_GB2312" w:eastAsia="楷体_GB2312" w:cs="楷体_GB2312"/>
          <w:color w:val="auto"/>
          <w:sz w:val="32"/>
          <w:szCs w:val="24"/>
          <w:highlight w:val="none"/>
        </w:rPr>
      </w:pPr>
      <w:bookmarkStart w:id="354" w:name="_Toc23529"/>
      <w:bookmarkStart w:id="355" w:name="_Toc27855"/>
      <w:r>
        <w:rPr>
          <w:rFonts w:hint="eastAsia" w:ascii="楷体_GB2312" w:hAnsi="楷体_GB2312" w:eastAsia="楷体_GB2312" w:cs="楷体_GB2312"/>
          <w:sz w:val="32"/>
          <w:szCs w:val="24"/>
          <w:highlight w:val="none"/>
          <w:lang w:val="en-US" w:eastAsia="zh-CN"/>
        </w:rPr>
        <w:t xml:space="preserve">第十条  </w:t>
      </w:r>
      <w:r>
        <w:rPr>
          <w:rFonts w:hint="eastAsia" w:ascii="楷体_GB2312" w:hAnsi="楷体_GB2312" w:eastAsia="楷体_GB2312" w:cs="楷体_GB2312"/>
          <w:color w:val="auto"/>
          <w:sz w:val="32"/>
          <w:szCs w:val="24"/>
          <w:highlight w:val="none"/>
        </w:rPr>
        <w:t>人才用房政策</w:t>
      </w:r>
      <w:bookmarkEnd w:id="354"/>
      <w:bookmarkEnd w:id="355"/>
    </w:p>
    <w:p>
      <w:pPr>
        <w:keepNext w:val="0"/>
        <w:keepLines w:val="0"/>
        <w:pageBreakBefore w:val="0"/>
        <w:widowControl w:val="0"/>
        <w:wordWrap/>
        <w:topLinePunct w:val="0"/>
        <w:bidi w:val="0"/>
        <w:adjustRightInd w:val="0"/>
        <w:snapToGrid w:val="0"/>
        <w:spacing w:beforeAutospacing="0" w:afterAutospacing="0" w:line="560" w:lineRule="exact"/>
        <w:ind w:left="0" w:leftChars="0" w:firstLine="640" w:firstLineChars="200"/>
        <w:rPr>
          <w:rFonts w:hint="default" w:ascii="仿宋_GB2312" w:eastAsia="仿宋_GB2312"/>
          <w:color w:val="auto"/>
          <w:sz w:val="32"/>
          <w:szCs w:val="32"/>
          <w:highlight w:val="none"/>
        </w:rPr>
      </w:pPr>
      <w:r>
        <w:rPr>
          <w:rFonts w:hint="eastAsia" w:ascii="仿宋_GB2312" w:eastAsia="仿宋_GB2312"/>
          <w:color w:val="auto"/>
          <w:sz w:val="32"/>
          <w:szCs w:val="32"/>
          <w:highlight w:val="none"/>
        </w:rPr>
        <w:t>区总部企业作为人才安居重点企业，可按南山区人才安居政策，享受区人才房定向配租及住房补租。</w:t>
      </w:r>
      <w:r>
        <w:rPr>
          <w:rFonts w:hint="eastAsia" w:ascii="仿宋_GB2312" w:eastAsia="仿宋_GB2312"/>
          <w:color w:val="auto"/>
          <w:sz w:val="32"/>
          <w:szCs w:val="32"/>
          <w:highlight w:val="none"/>
          <w:lang w:val="en-US" w:eastAsia="zh-CN"/>
        </w:rPr>
        <w:t>具体政策措施参照《南山区人才住房补租专项资金管理办法》等相关规定执行。</w:t>
      </w:r>
    </w:p>
    <w:p>
      <w:pPr>
        <w:pStyle w:val="3"/>
        <w:keepNext w:val="0"/>
        <w:keepLines w:val="0"/>
        <w:pageBreakBefore w:val="0"/>
        <w:widowControl w:val="0"/>
        <w:numPr>
          <w:ilvl w:val="-1"/>
          <w:numId w:val="0"/>
        </w:numPr>
        <w:wordWrap/>
        <w:topLinePunct w:val="0"/>
        <w:bidi w:val="0"/>
        <w:adjustRightInd w:val="0"/>
        <w:snapToGrid w:val="0"/>
        <w:spacing w:before="0" w:beforeLines="0" w:beforeAutospacing="0" w:after="0" w:afterLines="0" w:afterAutospacing="0" w:line="560" w:lineRule="exact"/>
        <w:ind w:left="0" w:leftChars="0" w:firstLine="643" w:firstLineChars="200"/>
        <w:rPr>
          <w:rFonts w:hint="eastAsia" w:ascii="楷体_GB2312" w:hAnsi="楷体_GB2312" w:eastAsia="楷体_GB2312" w:cs="楷体_GB2312"/>
          <w:color w:val="auto"/>
          <w:sz w:val="32"/>
          <w:szCs w:val="24"/>
          <w:highlight w:val="none"/>
        </w:rPr>
      </w:pPr>
      <w:bookmarkStart w:id="356" w:name="_Toc14710"/>
      <w:bookmarkStart w:id="357" w:name="_Toc17544"/>
      <w:r>
        <w:rPr>
          <w:rFonts w:hint="eastAsia" w:ascii="楷体_GB2312" w:hAnsi="楷体_GB2312" w:eastAsia="楷体_GB2312" w:cs="楷体_GB2312"/>
          <w:sz w:val="32"/>
          <w:szCs w:val="24"/>
          <w:highlight w:val="none"/>
          <w:lang w:val="en-US" w:eastAsia="zh-CN"/>
        </w:rPr>
        <w:t xml:space="preserve">第十一条  </w:t>
      </w:r>
      <w:r>
        <w:rPr>
          <w:rFonts w:hint="eastAsia" w:ascii="楷体_GB2312" w:hAnsi="楷体_GB2312" w:eastAsia="楷体_GB2312" w:cs="楷体_GB2312"/>
          <w:color w:val="auto"/>
          <w:sz w:val="32"/>
          <w:szCs w:val="24"/>
          <w:highlight w:val="none"/>
        </w:rPr>
        <w:t>人才突出贡献奖励</w:t>
      </w:r>
      <w:bookmarkEnd w:id="356"/>
      <w:bookmarkEnd w:id="357"/>
    </w:p>
    <w:p>
      <w:pPr>
        <w:keepNext w:val="0"/>
        <w:keepLines w:val="0"/>
        <w:pageBreakBefore w:val="0"/>
        <w:widowControl w:val="0"/>
        <w:wordWrap/>
        <w:topLinePunct w:val="0"/>
        <w:bidi w:val="0"/>
        <w:adjustRightInd w:val="0"/>
        <w:snapToGrid w:val="0"/>
        <w:spacing w:beforeAutospacing="0" w:afterAutospacing="0" w:line="560" w:lineRule="exact"/>
        <w:ind w:left="0" w:leftChars="0" w:firstLine="640" w:firstLineChars="200"/>
        <w:rPr>
          <w:rFonts w:hint="eastAsia" w:ascii="黑体" w:hAnsi="黑体" w:eastAsia="黑体" w:cstheme="minorBidi"/>
          <w:color w:val="auto"/>
          <w:sz w:val="32"/>
          <w:szCs w:val="32"/>
          <w:highlight w:val="none"/>
          <w:lang w:val="en-US" w:eastAsia="zh-CN"/>
        </w:rPr>
      </w:pPr>
      <w:r>
        <w:rPr>
          <w:rFonts w:hint="eastAsia" w:ascii="仿宋_GB2312" w:hAnsi="华文仿宋" w:eastAsia="仿宋_GB2312" w:cs="仿宋_GB2312"/>
          <w:color w:val="auto"/>
          <w:sz w:val="32"/>
          <w:szCs w:val="32"/>
          <w:highlight w:val="none"/>
          <w:lang w:val="zh-CN"/>
        </w:rPr>
        <w:t>区总部企业被推荐为绿色通道企业的，对其连续工作1年（含）以上的优秀人才，可按《南山区支持人才工作发展扶持措施》的规定给予经济贡献奖励。</w:t>
      </w:r>
    </w:p>
    <w:p>
      <w:pPr>
        <w:pStyle w:val="3"/>
        <w:keepNext w:val="0"/>
        <w:keepLines w:val="0"/>
        <w:pageBreakBefore w:val="0"/>
        <w:widowControl w:val="0"/>
        <w:numPr>
          <w:ilvl w:val="-1"/>
          <w:numId w:val="0"/>
        </w:numPr>
        <w:wordWrap/>
        <w:topLinePunct w:val="0"/>
        <w:bidi w:val="0"/>
        <w:adjustRightInd w:val="0"/>
        <w:snapToGrid w:val="0"/>
        <w:spacing w:before="0" w:beforeLines="0" w:beforeAutospacing="0" w:after="0" w:afterLines="0" w:afterAutospacing="0" w:line="560" w:lineRule="exact"/>
        <w:ind w:left="0" w:leftChars="0" w:firstLine="643" w:firstLineChars="200"/>
        <w:rPr>
          <w:rFonts w:hint="eastAsia" w:ascii="楷体_GB2312" w:hAnsi="楷体_GB2312" w:eastAsia="楷体_GB2312" w:cs="楷体_GB2312"/>
          <w:color w:val="auto"/>
          <w:sz w:val="32"/>
          <w:szCs w:val="24"/>
          <w:highlight w:val="none"/>
        </w:rPr>
      </w:pPr>
      <w:bookmarkStart w:id="358" w:name="_Toc17124"/>
      <w:bookmarkStart w:id="359" w:name="_Toc12797"/>
      <w:r>
        <w:rPr>
          <w:rFonts w:hint="eastAsia" w:ascii="楷体_GB2312" w:hAnsi="楷体_GB2312" w:eastAsia="楷体_GB2312" w:cs="楷体_GB2312"/>
          <w:sz w:val="32"/>
          <w:szCs w:val="24"/>
          <w:highlight w:val="none"/>
          <w:lang w:val="en-US" w:eastAsia="zh-CN"/>
        </w:rPr>
        <w:t xml:space="preserve">第十二条  </w:t>
      </w:r>
      <w:r>
        <w:rPr>
          <w:rFonts w:hint="eastAsia" w:ascii="楷体_GB2312" w:hAnsi="楷体_GB2312" w:eastAsia="楷体_GB2312" w:cs="楷体_GB2312"/>
          <w:color w:val="auto"/>
          <w:sz w:val="32"/>
          <w:szCs w:val="24"/>
          <w:highlight w:val="none"/>
        </w:rPr>
        <w:t>产业园区运营质量</w:t>
      </w:r>
      <w:r>
        <w:rPr>
          <w:rFonts w:hint="eastAsia" w:ascii="楷体_GB2312" w:hAnsi="楷体_GB2312" w:eastAsia="楷体_GB2312" w:cs="楷体_GB2312"/>
          <w:color w:val="auto"/>
          <w:sz w:val="32"/>
          <w:szCs w:val="24"/>
          <w:highlight w:val="none"/>
          <w:lang w:val="en-US" w:eastAsia="zh-CN"/>
        </w:rPr>
        <w:t>提升扶持</w:t>
      </w:r>
      <w:bookmarkEnd w:id="358"/>
      <w:bookmarkEnd w:id="359"/>
    </w:p>
    <w:p>
      <w:pPr>
        <w:keepNext w:val="0"/>
        <w:keepLines w:val="0"/>
        <w:pageBreakBefore w:val="0"/>
        <w:widowControl w:val="0"/>
        <w:wordWrap/>
        <w:topLinePunct w:val="0"/>
        <w:bidi w:val="0"/>
        <w:adjustRightInd w:val="0"/>
        <w:snapToGrid w:val="0"/>
        <w:spacing w:beforeAutospacing="0" w:afterAutospacing="0" w:line="560" w:lineRule="exact"/>
        <w:ind w:left="0" w:leftChars="0" w:firstLine="640" w:firstLineChars="200"/>
        <w:rPr>
          <w:rFonts w:hint="eastAsia" w:ascii="仿宋_GB2312" w:hAnsi="华文仿宋" w:eastAsia="仿宋_GB2312" w:cs="仿宋_GB2312"/>
          <w:color w:val="auto"/>
          <w:sz w:val="32"/>
          <w:szCs w:val="32"/>
          <w:highlight w:val="none"/>
          <w:lang w:val="zh-CN"/>
        </w:rPr>
      </w:pPr>
      <w:r>
        <w:rPr>
          <w:rFonts w:hint="eastAsia" w:ascii="仿宋_GB2312" w:hAnsi="华文仿宋" w:eastAsia="仿宋_GB2312" w:cs="仿宋_GB2312"/>
          <w:color w:val="auto"/>
          <w:sz w:val="32"/>
          <w:szCs w:val="32"/>
          <w:highlight w:val="none"/>
          <w:lang w:val="en-US" w:eastAsia="zh-CN"/>
        </w:rPr>
        <w:t>为加快总部企业集聚，鼓励产业园区引进总部企业，提升运营质量，</w:t>
      </w:r>
      <w:r>
        <w:rPr>
          <w:rFonts w:hint="eastAsia" w:ascii="仿宋_GB2312" w:hAnsi="华文仿宋" w:eastAsia="仿宋_GB2312" w:cs="仿宋_GB2312"/>
          <w:color w:val="auto"/>
          <w:sz w:val="32"/>
          <w:szCs w:val="32"/>
          <w:highlight w:val="none"/>
          <w:lang w:val="zh-CN"/>
        </w:rPr>
        <w:t>对经备案的产业园区，根据面积、入驻企业经济贡献、入驻</w:t>
      </w:r>
      <w:r>
        <w:rPr>
          <w:rFonts w:hint="eastAsia" w:ascii="仿宋_GB2312" w:hAnsi="华文仿宋" w:eastAsia="仿宋_GB2312" w:cs="仿宋_GB2312"/>
          <w:color w:val="auto"/>
          <w:sz w:val="32"/>
          <w:szCs w:val="32"/>
          <w:highlight w:val="none"/>
          <w:lang w:val="en-US" w:eastAsia="zh-CN"/>
        </w:rPr>
        <w:t>总部</w:t>
      </w:r>
      <w:r>
        <w:rPr>
          <w:rFonts w:hint="eastAsia" w:ascii="仿宋_GB2312" w:hAnsi="华文仿宋" w:eastAsia="仿宋_GB2312" w:cs="仿宋_GB2312"/>
          <w:color w:val="auto"/>
          <w:sz w:val="32"/>
          <w:szCs w:val="32"/>
          <w:highlight w:val="none"/>
          <w:lang w:val="zh-CN"/>
        </w:rPr>
        <w:t>企业满意度、街道评分等指标，每年</w:t>
      </w:r>
      <w:r>
        <w:rPr>
          <w:rFonts w:hint="eastAsia" w:ascii="仿宋_GB2312" w:hAnsi="华文仿宋" w:eastAsia="仿宋_GB2312" w:cs="仿宋_GB2312"/>
          <w:color w:val="auto"/>
          <w:sz w:val="32"/>
          <w:szCs w:val="32"/>
          <w:highlight w:val="none"/>
          <w:lang w:val="en-US" w:eastAsia="zh-CN"/>
        </w:rPr>
        <w:t>进行星级评定和授牌，</w:t>
      </w:r>
      <w:r>
        <w:rPr>
          <w:rFonts w:hint="eastAsia" w:ascii="仿宋_GB2312" w:hAnsi="华文仿宋" w:eastAsia="仿宋_GB2312" w:cs="仿宋_GB2312"/>
          <w:color w:val="auto"/>
          <w:sz w:val="32"/>
          <w:szCs w:val="32"/>
          <w:highlight w:val="none"/>
          <w:lang w:val="zh-CN"/>
        </w:rPr>
        <w:t>并对园区运营管理机构分档给予资助，每个园区年资助额最高200万元。其中，获得省级及以上相关园区称号、积极配合</w:t>
      </w:r>
      <w:r>
        <w:rPr>
          <w:rFonts w:hint="eastAsia" w:ascii="仿宋_GB2312" w:hAnsi="华文仿宋" w:eastAsia="仿宋_GB2312" w:cs="仿宋_GB2312"/>
          <w:color w:val="auto"/>
          <w:sz w:val="32"/>
          <w:szCs w:val="32"/>
          <w:highlight w:val="none"/>
          <w:lang w:val="en-US" w:eastAsia="zh-CN"/>
        </w:rPr>
        <w:t>总部企业服务或转供电环境综合升级改造工作</w:t>
      </w:r>
      <w:r>
        <w:rPr>
          <w:rFonts w:hint="eastAsia" w:ascii="仿宋_GB2312" w:hAnsi="华文仿宋" w:eastAsia="仿宋_GB2312" w:cs="仿宋_GB2312"/>
          <w:color w:val="auto"/>
          <w:sz w:val="32"/>
          <w:szCs w:val="32"/>
          <w:highlight w:val="none"/>
          <w:lang w:val="zh-CN"/>
        </w:rPr>
        <w:t>的园区，在原有资助档次基础上适当提高档次予以资助。</w:t>
      </w:r>
    </w:p>
    <w:p>
      <w:pPr>
        <w:pStyle w:val="3"/>
        <w:keepNext w:val="0"/>
        <w:keepLines w:val="0"/>
        <w:pageBreakBefore w:val="0"/>
        <w:widowControl w:val="0"/>
        <w:numPr>
          <w:ilvl w:val="-1"/>
          <w:numId w:val="0"/>
        </w:numPr>
        <w:wordWrap/>
        <w:topLinePunct w:val="0"/>
        <w:bidi w:val="0"/>
        <w:adjustRightInd w:val="0"/>
        <w:snapToGrid w:val="0"/>
        <w:spacing w:before="0" w:beforeLines="0" w:beforeAutospacing="0" w:after="0" w:afterLines="0" w:afterAutospacing="0" w:line="560" w:lineRule="exact"/>
        <w:ind w:left="0" w:leftChars="0" w:firstLine="643" w:firstLineChars="200"/>
        <w:rPr>
          <w:rFonts w:hint="eastAsia" w:ascii="楷体_GB2312" w:hAnsi="楷体_GB2312" w:eastAsia="楷体_GB2312" w:cs="楷体_GB2312"/>
          <w:color w:val="auto"/>
          <w:sz w:val="32"/>
          <w:szCs w:val="24"/>
          <w:highlight w:val="none"/>
        </w:rPr>
      </w:pPr>
      <w:bookmarkStart w:id="360" w:name="_Toc2887"/>
      <w:bookmarkStart w:id="361" w:name="_Toc12339"/>
      <w:r>
        <w:rPr>
          <w:rFonts w:hint="eastAsia" w:ascii="楷体_GB2312" w:hAnsi="楷体_GB2312" w:eastAsia="楷体_GB2312" w:cs="楷体_GB2312"/>
          <w:sz w:val="32"/>
          <w:szCs w:val="24"/>
          <w:highlight w:val="none"/>
          <w:lang w:val="en-US" w:eastAsia="zh-CN"/>
        </w:rPr>
        <w:t xml:space="preserve">第十三条  </w:t>
      </w:r>
      <w:r>
        <w:rPr>
          <w:rFonts w:hint="eastAsia" w:ascii="楷体_GB2312" w:hAnsi="楷体_GB2312" w:eastAsia="楷体_GB2312" w:cs="楷体_GB2312"/>
          <w:color w:val="auto"/>
          <w:sz w:val="32"/>
          <w:szCs w:val="24"/>
          <w:highlight w:val="none"/>
          <w:lang w:val="en-US" w:eastAsia="zh-CN"/>
        </w:rPr>
        <w:t>总部经济生产空间拓展扶持</w:t>
      </w:r>
      <w:bookmarkEnd w:id="360"/>
      <w:bookmarkEnd w:id="361"/>
    </w:p>
    <w:p>
      <w:pPr>
        <w:keepNext w:val="0"/>
        <w:keepLines w:val="0"/>
        <w:pageBreakBefore w:val="0"/>
        <w:widowControl w:val="0"/>
        <w:wordWrap/>
        <w:topLinePunct w:val="0"/>
        <w:bidi w:val="0"/>
        <w:adjustRightInd w:val="0"/>
        <w:snapToGrid w:val="0"/>
        <w:spacing w:beforeAutospacing="0" w:afterAutospacing="0" w:line="560" w:lineRule="exact"/>
        <w:ind w:left="0" w:leftChars="0" w:firstLine="640" w:firstLineChars="200"/>
        <w:rPr>
          <w:rFonts w:hint="eastAsia" w:ascii="仿宋_GB2312" w:hAnsi="华文仿宋" w:eastAsia="仿宋_GB2312" w:cs="仿宋_GB2312"/>
          <w:color w:val="auto"/>
          <w:sz w:val="32"/>
          <w:szCs w:val="32"/>
          <w:highlight w:val="none"/>
          <w:lang w:val="zh-CN"/>
        </w:rPr>
      </w:pPr>
      <w:r>
        <w:rPr>
          <w:rFonts w:hint="eastAsia" w:ascii="仿宋_GB2312" w:hAnsi="华文仿宋" w:eastAsia="仿宋_GB2312" w:cs="仿宋_GB2312"/>
          <w:color w:val="auto"/>
          <w:sz w:val="32"/>
          <w:szCs w:val="32"/>
          <w:highlight w:val="none"/>
          <w:lang w:val="en-US" w:eastAsia="zh-CN"/>
        </w:rPr>
        <w:t>为落实“总部研发+高端制造”战略，加快打造总部经济，支持企业拓展异地生产空间。</w:t>
      </w:r>
      <w:r>
        <w:rPr>
          <w:rFonts w:hint="eastAsia" w:ascii="仿宋_GB2312" w:hAnsi="华文仿宋" w:eastAsia="仿宋_GB2312" w:cs="仿宋_GB2312"/>
          <w:color w:val="auto"/>
          <w:sz w:val="32"/>
          <w:szCs w:val="32"/>
          <w:highlight w:val="none"/>
          <w:lang w:val="zh-CN"/>
        </w:rPr>
        <w:t>对于总部注册在南山区，以分公司或控股子公司入驻</w:t>
      </w:r>
      <w:r>
        <w:rPr>
          <w:rFonts w:hint="eastAsia" w:ascii="仿宋_GB2312" w:hAnsi="华文仿宋" w:eastAsia="仿宋_GB2312" w:cs="仿宋_GB2312"/>
          <w:color w:val="auto"/>
          <w:sz w:val="32"/>
          <w:szCs w:val="32"/>
          <w:highlight w:val="none"/>
          <w:lang w:val="en-US" w:eastAsia="zh-CN"/>
        </w:rPr>
        <w:t>深汕、河源等</w:t>
      </w:r>
      <w:r>
        <w:rPr>
          <w:rFonts w:hint="eastAsia" w:ascii="仿宋_GB2312" w:hAnsi="华文仿宋" w:eastAsia="仿宋_GB2312" w:cs="仿宋_GB2312"/>
          <w:color w:val="auto"/>
          <w:sz w:val="32"/>
          <w:szCs w:val="32"/>
          <w:highlight w:val="none"/>
          <w:lang w:val="zh-CN"/>
        </w:rPr>
        <w:t>异地共建产业园的工业企业，按租赁面积和产值规模分档，给予最高300万元的一次性落户奖励。如产值保持正增长的，按产值规模分档，分5年给予贡献奖励，每年最高200万元。</w:t>
      </w:r>
    </w:p>
    <w:p>
      <w:pPr>
        <w:keepNext w:val="0"/>
        <w:keepLines w:val="0"/>
        <w:pageBreakBefore w:val="0"/>
        <w:widowControl w:val="0"/>
        <w:wordWrap/>
        <w:topLinePunct w:val="0"/>
        <w:bidi w:val="0"/>
        <w:adjustRightInd w:val="0"/>
        <w:snapToGrid w:val="0"/>
        <w:spacing w:beforeAutospacing="0" w:afterAutospacing="0" w:line="560" w:lineRule="exact"/>
        <w:ind w:left="0" w:leftChars="0" w:firstLine="0" w:firstLineChars="0"/>
        <w:rPr>
          <w:rFonts w:ascii="仿宋_GB2312" w:hAnsi="华文仿宋" w:eastAsia="仿宋_GB2312" w:cs="仿宋_GB2312"/>
          <w:color w:val="auto"/>
          <w:sz w:val="32"/>
          <w:szCs w:val="32"/>
          <w:highlight w:val="none"/>
          <w:lang w:val="zh-CN"/>
        </w:rPr>
      </w:pPr>
    </w:p>
    <w:p>
      <w:pPr>
        <w:pStyle w:val="16"/>
        <w:keepNext w:val="0"/>
        <w:keepLines w:val="0"/>
        <w:pageBreakBefore w:val="0"/>
        <w:widowControl w:val="0"/>
        <w:numPr>
          <w:ilvl w:val="0"/>
          <w:numId w:val="0"/>
        </w:numPr>
        <w:wordWrap/>
        <w:topLinePunct w:val="0"/>
        <w:bidi w:val="0"/>
        <w:adjustRightInd w:val="0"/>
        <w:snapToGrid w:val="0"/>
        <w:spacing w:beforeAutospacing="0" w:afterAutospacing="0" w:line="560" w:lineRule="exact"/>
        <w:ind w:left="0" w:leftChars="0"/>
        <w:jc w:val="center"/>
        <w:outlineLvl w:val="0"/>
        <w:rPr>
          <w:rFonts w:ascii="黑体" w:hAnsi="黑体" w:eastAsia="黑体"/>
          <w:color w:val="auto"/>
          <w:sz w:val="32"/>
          <w:szCs w:val="32"/>
          <w:highlight w:val="none"/>
        </w:rPr>
      </w:pPr>
      <w:bookmarkStart w:id="362" w:name="_Toc25412"/>
      <w:r>
        <w:rPr>
          <w:rFonts w:hint="eastAsia" w:ascii="黑体" w:hAnsi="黑体" w:eastAsia="黑体"/>
          <w:color w:val="auto"/>
          <w:sz w:val="32"/>
          <w:szCs w:val="32"/>
          <w:highlight w:val="none"/>
          <w:lang w:val="en-US" w:eastAsia="zh-CN"/>
        </w:rPr>
        <w:t>第三章</w:t>
      </w:r>
      <w:r>
        <w:rPr>
          <w:rFonts w:hint="eastAsia" w:ascii="黑体" w:hAnsi="黑体" w:eastAsia="黑体"/>
          <w:color w:val="auto"/>
          <w:sz w:val="32"/>
          <w:szCs w:val="32"/>
          <w:highlight w:val="none"/>
        </w:rPr>
        <w:t xml:space="preserve">  </w:t>
      </w:r>
      <w:bookmarkStart w:id="363" w:name="_Toc13442"/>
      <w:bookmarkStart w:id="364" w:name="_Toc6370"/>
      <w:r>
        <w:rPr>
          <w:rFonts w:hint="eastAsia" w:ascii="黑体" w:hAnsi="黑体" w:eastAsia="黑体"/>
          <w:color w:val="auto"/>
          <w:sz w:val="32"/>
          <w:szCs w:val="32"/>
          <w:highlight w:val="none"/>
        </w:rPr>
        <w:t>附  则</w:t>
      </w:r>
      <w:bookmarkEnd w:id="362"/>
      <w:bookmarkEnd w:id="363"/>
      <w:bookmarkEnd w:id="364"/>
    </w:p>
    <w:p>
      <w:pPr>
        <w:keepNext w:val="0"/>
        <w:keepLines w:val="0"/>
        <w:pageBreakBefore w:val="0"/>
        <w:widowControl w:val="0"/>
        <w:wordWrap/>
        <w:topLinePunct w:val="0"/>
        <w:bidi w:val="0"/>
        <w:adjustRightInd w:val="0"/>
        <w:snapToGrid w:val="0"/>
        <w:spacing w:beforeAutospacing="0" w:afterAutospacing="0" w:line="560" w:lineRule="exact"/>
        <w:ind w:left="0" w:leftChars="0" w:firstLine="640" w:firstLineChars="200"/>
        <w:rPr>
          <w:rFonts w:hint="eastAsia" w:ascii="仿宋_GB2312" w:hAnsi="华文仿宋" w:eastAsia="仿宋_GB2312" w:cs="仿宋_GB2312"/>
          <w:color w:val="auto"/>
          <w:sz w:val="32"/>
          <w:szCs w:val="32"/>
          <w:highlight w:val="none"/>
        </w:rPr>
      </w:pPr>
    </w:p>
    <w:p>
      <w:pPr>
        <w:keepNext w:val="0"/>
        <w:keepLines w:val="0"/>
        <w:pageBreakBefore w:val="0"/>
        <w:widowControl w:val="0"/>
        <w:numPr>
          <w:ilvl w:val="-1"/>
          <w:numId w:val="0"/>
        </w:numPr>
        <w:wordWrap/>
        <w:topLinePunct w:val="0"/>
        <w:bidi w:val="0"/>
        <w:adjustRightInd w:val="0"/>
        <w:snapToGrid w:val="0"/>
        <w:spacing w:beforeAutospacing="0" w:afterAutospacing="0" w:line="560" w:lineRule="exact"/>
        <w:ind w:left="0" w:leftChars="0" w:firstLine="643" w:firstLineChars="200"/>
        <w:rPr>
          <w:rFonts w:hint="eastAsia" w:ascii="仿宋_GB2312" w:hAnsi="华文仿宋" w:eastAsia="仿宋_GB2312" w:cs="仿宋_GB2312"/>
          <w:color w:val="auto"/>
          <w:sz w:val="32"/>
          <w:szCs w:val="32"/>
          <w:highlight w:val="none"/>
        </w:rPr>
      </w:pPr>
      <w:r>
        <w:rPr>
          <w:rFonts w:hint="eastAsia" w:ascii="楷体_GB2312" w:hAnsi="楷体_GB2312" w:eastAsia="楷体_GB2312" w:cs="楷体_GB2312"/>
          <w:b/>
          <w:bCs w:val="0"/>
          <w:sz w:val="32"/>
          <w:szCs w:val="24"/>
          <w:highlight w:val="none"/>
          <w:lang w:val="en-US" w:eastAsia="zh-CN"/>
        </w:rPr>
        <w:t>第十四条</w:t>
      </w:r>
      <w:r>
        <w:rPr>
          <w:rFonts w:hint="eastAsia" w:ascii="仿宋_GB2312" w:hAnsi="华文仿宋" w:eastAsia="仿宋_GB2312" w:cs="仿宋_GB2312"/>
          <w:color w:val="auto"/>
          <w:sz w:val="32"/>
          <w:szCs w:val="32"/>
          <w:highlight w:val="none"/>
          <w:lang w:val="en-US" w:eastAsia="zh-CN"/>
        </w:rPr>
        <w:t xml:space="preserve">  </w:t>
      </w:r>
      <w:r>
        <w:rPr>
          <w:rFonts w:hint="eastAsia" w:ascii="仿宋_GB2312" w:hAnsi="华文仿宋" w:eastAsia="仿宋_GB2312" w:cs="仿宋_GB2312"/>
          <w:color w:val="auto"/>
          <w:sz w:val="32"/>
          <w:szCs w:val="32"/>
          <w:highlight w:val="none"/>
        </w:rPr>
        <w:t>本</w:t>
      </w:r>
      <w:r>
        <w:rPr>
          <w:rFonts w:hint="eastAsia" w:ascii="仿宋_GB2312" w:hAnsi="华文仿宋" w:eastAsia="仿宋_GB2312" w:cs="仿宋_GB2312"/>
          <w:color w:val="auto"/>
          <w:sz w:val="32"/>
          <w:szCs w:val="32"/>
          <w:highlight w:val="none"/>
          <w:lang w:eastAsia="zh-CN"/>
        </w:rPr>
        <w:t>措施</w:t>
      </w:r>
      <w:r>
        <w:rPr>
          <w:rFonts w:hint="eastAsia" w:ascii="仿宋_GB2312" w:hAnsi="华文仿宋" w:eastAsia="仿宋_GB2312" w:cs="仿宋_GB2312"/>
          <w:color w:val="auto"/>
          <w:sz w:val="32"/>
          <w:szCs w:val="32"/>
          <w:highlight w:val="none"/>
        </w:rPr>
        <w:t>所称总部企业产值规模（营业收入、销售额、营业额）、形成的地方财力以申报企业独立法人（含注册地、统计关系、纳税关系同在南山区的分公司）及其控股50%（含）以上在本区注册的一级</w:t>
      </w:r>
      <w:r>
        <w:rPr>
          <w:rFonts w:hint="eastAsia" w:ascii="仿宋_GB2312" w:hAnsi="华文仿宋" w:eastAsia="仿宋_GB2312" w:cs="仿宋_GB2312"/>
          <w:color w:val="auto"/>
          <w:sz w:val="32"/>
          <w:szCs w:val="32"/>
          <w:highlight w:val="none"/>
          <w:lang w:eastAsia="zh-CN"/>
        </w:rPr>
        <w:t>、</w:t>
      </w:r>
      <w:r>
        <w:rPr>
          <w:rFonts w:hint="eastAsia" w:ascii="仿宋_GB2312" w:hAnsi="华文仿宋" w:eastAsia="仿宋_GB2312" w:cs="仿宋_GB2312"/>
          <w:color w:val="auto"/>
          <w:sz w:val="32"/>
          <w:szCs w:val="32"/>
          <w:highlight w:val="none"/>
          <w:lang w:val="en-US" w:eastAsia="zh-CN"/>
        </w:rPr>
        <w:t>二级</w:t>
      </w:r>
      <w:r>
        <w:rPr>
          <w:rFonts w:hint="eastAsia" w:ascii="仿宋_GB2312" w:hAnsi="华文仿宋" w:eastAsia="仿宋_GB2312" w:cs="仿宋_GB2312"/>
          <w:color w:val="auto"/>
          <w:sz w:val="32"/>
          <w:szCs w:val="32"/>
          <w:highlight w:val="none"/>
        </w:rPr>
        <w:t>子公司作为统计核算口径，各年度股权关系以统计数据当年12月31日股权登记状况为准。</w:t>
      </w:r>
    </w:p>
    <w:p>
      <w:pPr>
        <w:keepNext w:val="0"/>
        <w:keepLines w:val="0"/>
        <w:pageBreakBefore w:val="0"/>
        <w:widowControl w:val="0"/>
        <w:numPr>
          <w:ilvl w:val="-1"/>
          <w:numId w:val="0"/>
        </w:numPr>
        <w:wordWrap/>
        <w:topLinePunct w:val="0"/>
        <w:bidi w:val="0"/>
        <w:adjustRightInd w:val="0"/>
        <w:snapToGrid w:val="0"/>
        <w:spacing w:beforeAutospacing="0" w:afterAutospacing="0" w:line="560" w:lineRule="exact"/>
        <w:ind w:left="0" w:leftChars="0" w:firstLine="643" w:firstLineChars="200"/>
        <w:rPr>
          <w:rFonts w:hint="eastAsia" w:ascii="仿宋_GB2312" w:hAnsi="华文仿宋" w:eastAsia="仿宋_GB2312" w:cs="仿宋_GB2312"/>
          <w:color w:val="auto"/>
          <w:sz w:val="32"/>
          <w:szCs w:val="32"/>
          <w:highlight w:val="none"/>
        </w:rPr>
      </w:pPr>
      <w:r>
        <w:rPr>
          <w:rFonts w:hint="eastAsia" w:ascii="楷体_GB2312" w:hAnsi="楷体_GB2312" w:eastAsia="楷体_GB2312" w:cs="楷体_GB2312"/>
          <w:b/>
          <w:bCs w:val="0"/>
          <w:sz w:val="32"/>
          <w:szCs w:val="24"/>
          <w:highlight w:val="none"/>
          <w:lang w:val="en-US" w:eastAsia="zh-CN"/>
        </w:rPr>
        <w:t>第十五条</w:t>
      </w:r>
      <w:r>
        <w:rPr>
          <w:rFonts w:hint="eastAsia" w:ascii="仿宋_GB2312" w:hAnsi="华文仿宋" w:eastAsia="仿宋_GB2312" w:cs="仿宋_GB2312"/>
          <w:b/>
          <w:bCs/>
          <w:color w:val="auto"/>
          <w:sz w:val="32"/>
          <w:szCs w:val="32"/>
          <w:highlight w:val="none"/>
          <w:lang w:val="en-US" w:eastAsia="zh-CN"/>
        </w:rPr>
        <w:t xml:space="preserve">  </w:t>
      </w:r>
      <w:r>
        <w:rPr>
          <w:rFonts w:hint="eastAsia" w:ascii="仿宋_GB2312" w:hAnsi="华文仿宋" w:eastAsia="仿宋_GB2312" w:cs="仿宋_GB2312"/>
          <w:color w:val="auto"/>
          <w:sz w:val="32"/>
          <w:szCs w:val="32"/>
          <w:highlight w:val="none"/>
        </w:rPr>
        <w:t>本</w:t>
      </w:r>
      <w:r>
        <w:rPr>
          <w:rFonts w:hint="eastAsia" w:ascii="仿宋_GB2312" w:hAnsi="华文仿宋" w:eastAsia="仿宋_GB2312" w:cs="仿宋_GB2312"/>
          <w:color w:val="auto"/>
          <w:sz w:val="32"/>
          <w:szCs w:val="32"/>
          <w:highlight w:val="none"/>
          <w:lang w:eastAsia="zh-CN"/>
        </w:rPr>
        <w:t>措施</w:t>
      </w:r>
      <w:r>
        <w:rPr>
          <w:rFonts w:hint="eastAsia" w:ascii="仿宋_GB2312" w:hAnsi="华文仿宋" w:eastAsia="仿宋_GB2312" w:cs="仿宋_GB2312"/>
          <w:color w:val="auto"/>
          <w:sz w:val="32"/>
          <w:szCs w:val="32"/>
          <w:highlight w:val="none"/>
        </w:rPr>
        <w:t>所称形成地方财力是指申报企业在深圳市缴纳的税款入库期内，企业所得税、增值税、城市维护建设税、印花税、房产税、城镇土地使用税</w:t>
      </w:r>
      <w:r>
        <w:rPr>
          <w:rFonts w:hint="eastAsia" w:ascii="仿宋_GB2312" w:hAnsi="华文仿宋" w:eastAsia="仿宋_GB2312" w:cs="仿宋_GB2312"/>
          <w:color w:val="auto"/>
          <w:sz w:val="32"/>
          <w:szCs w:val="32"/>
          <w:highlight w:val="none"/>
          <w:lang w:eastAsia="zh-CN"/>
        </w:rPr>
        <w:t>、</w:t>
      </w:r>
      <w:r>
        <w:rPr>
          <w:rFonts w:hint="eastAsia" w:ascii="仿宋_GB2312" w:hAnsi="华文仿宋" w:eastAsia="仿宋_GB2312" w:cs="仿宋_GB2312"/>
          <w:color w:val="auto"/>
          <w:sz w:val="32"/>
          <w:szCs w:val="32"/>
          <w:highlight w:val="none"/>
          <w:lang w:val="en-US" w:eastAsia="zh-CN"/>
        </w:rPr>
        <w:t>地方教育费附加、教育费附加、文化事业建设费</w:t>
      </w:r>
      <w:r>
        <w:rPr>
          <w:rFonts w:hint="eastAsia" w:ascii="仿宋_GB2312" w:hAnsi="华文仿宋" w:eastAsia="仿宋_GB2312" w:cs="仿宋_GB2312"/>
          <w:color w:val="auto"/>
          <w:sz w:val="32"/>
          <w:szCs w:val="32"/>
          <w:highlight w:val="none"/>
        </w:rPr>
        <w:t>计入南山区地方分成部分。</w:t>
      </w:r>
    </w:p>
    <w:p>
      <w:pPr>
        <w:keepNext w:val="0"/>
        <w:keepLines w:val="0"/>
        <w:pageBreakBefore w:val="0"/>
        <w:widowControl w:val="0"/>
        <w:numPr>
          <w:ilvl w:val="-1"/>
          <w:numId w:val="0"/>
        </w:numPr>
        <w:wordWrap/>
        <w:topLinePunct w:val="0"/>
        <w:bidi w:val="0"/>
        <w:adjustRightInd w:val="0"/>
        <w:snapToGrid w:val="0"/>
        <w:spacing w:beforeAutospacing="0" w:afterAutospacing="0" w:line="560" w:lineRule="exact"/>
        <w:ind w:left="0" w:leftChars="0" w:firstLine="643" w:firstLineChars="200"/>
        <w:rPr>
          <w:rFonts w:hint="eastAsia" w:ascii="仿宋_GB2312" w:hAnsi="华文仿宋" w:eastAsia="仿宋_GB2312" w:cs="仿宋_GB2312"/>
          <w:b w:val="0"/>
          <w:bCs w:val="0"/>
          <w:color w:val="auto"/>
          <w:sz w:val="32"/>
          <w:szCs w:val="32"/>
          <w:highlight w:val="none"/>
        </w:rPr>
      </w:pPr>
      <w:r>
        <w:rPr>
          <w:rFonts w:hint="eastAsia" w:ascii="楷体_GB2312" w:hAnsi="楷体_GB2312" w:eastAsia="楷体_GB2312" w:cs="楷体_GB2312"/>
          <w:b/>
          <w:bCs w:val="0"/>
          <w:sz w:val="32"/>
          <w:szCs w:val="24"/>
          <w:highlight w:val="none"/>
          <w:lang w:val="en-US" w:eastAsia="zh-CN"/>
        </w:rPr>
        <w:t xml:space="preserve">第十六条 </w:t>
      </w:r>
      <w:r>
        <w:rPr>
          <w:rFonts w:hint="eastAsia" w:ascii="仿宋_GB2312" w:hAnsi="华文仿宋" w:eastAsia="仿宋_GB2312" w:cs="仿宋_GB2312"/>
          <w:b/>
          <w:bCs/>
          <w:color w:val="auto"/>
          <w:sz w:val="32"/>
          <w:szCs w:val="32"/>
          <w:highlight w:val="none"/>
          <w:lang w:val="en-US" w:eastAsia="zh-CN"/>
        </w:rPr>
        <w:t xml:space="preserve"> </w:t>
      </w:r>
      <w:r>
        <w:rPr>
          <w:rFonts w:hint="eastAsia" w:ascii="仿宋_GB2312" w:hAnsi="华文仿宋" w:eastAsia="仿宋_GB2312" w:cs="仿宋_GB2312"/>
          <w:b w:val="0"/>
          <w:bCs w:val="0"/>
          <w:color w:val="auto"/>
          <w:sz w:val="32"/>
          <w:szCs w:val="32"/>
          <w:highlight w:val="none"/>
        </w:rPr>
        <w:t>申报企业的下属公司独立提出申请享受总部支持政策的，其下属公司在本区统计核算的产值规模（营业收入）和形成地方财力不再重复计入作为上级公司的</w:t>
      </w:r>
      <w:r>
        <w:rPr>
          <w:rFonts w:hint="eastAsia" w:ascii="仿宋_GB2312" w:hAnsi="华文仿宋" w:eastAsia="仿宋_GB2312" w:cs="仿宋_GB2312"/>
          <w:b w:val="0"/>
          <w:bCs w:val="0"/>
          <w:color w:val="auto"/>
          <w:sz w:val="32"/>
          <w:szCs w:val="32"/>
          <w:highlight w:val="none"/>
          <w:lang w:val="en-US" w:eastAsia="zh-CN"/>
        </w:rPr>
        <w:t>核算范围</w:t>
      </w:r>
      <w:r>
        <w:rPr>
          <w:rFonts w:hint="eastAsia" w:ascii="仿宋_GB2312" w:hAnsi="华文仿宋" w:eastAsia="仿宋_GB2312" w:cs="仿宋_GB2312"/>
          <w:b w:val="0"/>
          <w:bCs w:val="0"/>
          <w:color w:val="auto"/>
          <w:sz w:val="32"/>
          <w:szCs w:val="32"/>
          <w:highlight w:val="none"/>
        </w:rPr>
        <w:t>。</w:t>
      </w:r>
    </w:p>
    <w:p>
      <w:pPr>
        <w:keepNext w:val="0"/>
        <w:keepLines w:val="0"/>
        <w:pageBreakBefore w:val="0"/>
        <w:widowControl w:val="0"/>
        <w:numPr>
          <w:ilvl w:val="-1"/>
          <w:numId w:val="0"/>
        </w:numPr>
        <w:wordWrap/>
        <w:topLinePunct w:val="0"/>
        <w:bidi w:val="0"/>
        <w:adjustRightInd w:val="0"/>
        <w:snapToGrid w:val="0"/>
        <w:spacing w:beforeAutospacing="0" w:afterAutospacing="0" w:line="560" w:lineRule="exact"/>
        <w:ind w:left="0" w:leftChars="0" w:firstLine="643" w:firstLineChars="200"/>
        <w:rPr>
          <w:rFonts w:hint="eastAsia" w:ascii="仿宋_GB2312" w:hAnsi="华文仿宋" w:eastAsia="仿宋_GB2312" w:cs="仿宋_GB2312"/>
          <w:b w:val="0"/>
          <w:bCs w:val="0"/>
          <w:color w:val="auto"/>
          <w:sz w:val="32"/>
          <w:szCs w:val="32"/>
          <w:highlight w:val="none"/>
        </w:rPr>
      </w:pPr>
      <w:r>
        <w:rPr>
          <w:rFonts w:hint="eastAsia" w:ascii="楷体_GB2312" w:hAnsi="楷体_GB2312" w:eastAsia="楷体_GB2312" w:cs="楷体_GB2312"/>
          <w:b/>
          <w:bCs w:val="0"/>
          <w:sz w:val="32"/>
          <w:szCs w:val="24"/>
          <w:highlight w:val="none"/>
          <w:lang w:val="en-US" w:eastAsia="zh-CN"/>
        </w:rPr>
        <w:t>第十七条</w:t>
      </w:r>
      <w:r>
        <w:rPr>
          <w:rFonts w:hint="eastAsia" w:ascii="仿宋_GB2312" w:hAnsi="华文仿宋" w:eastAsia="仿宋_GB2312" w:cs="仿宋_GB2312"/>
          <w:b/>
          <w:bCs/>
          <w:color w:val="auto"/>
          <w:sz w:val="32"/>
          <w:szCs w:val="32"/>
          <w:highlight w:val="none"/>
          <w:lang w:val="en-US" w:eastAsia="zh-CN"/>
        </w:rPr>
        <w:t xml:space="preserve">  </w:t>
      </w:r>
      <w:r>
        <w:rPr>
          <w:rFonts w:hint="eastAsia" w:ascii="仿宋_GB2312" w:hAnsi="华文仿宋" w:eastAsia="仿宋_GB2312" w:cs="仿宋_GB2312"/>
          <w:b w:val="0"/>
          <w:bCs w:val="0"/>
          <w:color w:val="auto"/>
          <w:sz w:val="32"/>
          <w:szCs w:val="32"/>
          <w:highlight w:val="none"/>
        </w:rPr>
        <w:t>每一总部企业每年累计获得本</w:t>
      </w:r>
      <w:r>
        <w:rPr>
          <w:rFonts w:hint="eastAsia" w:ascii="仿宋_GB2312" w:hAnsi="华文仿宋" w:eastAsia="仿宋_GB2312" w:cs="仿宋_GB2312"/>
          <w:b w:val="0"/>
          <w:bCs w:val="0"/>
          <w:color w:val="auto"/>
          <w:sz w:val="32"/>
          <w:szCs w:val="32"/>
          <w:highlight w:val="none"/>
          <w:lang w:eastAsia="zh-CN"/>
        </w:rPr>
        <w:t>措施</w:t>
      </w:r>
      <w:r>
        <w:rPr>
          <w:rFonts w:hint="eastAsia" w:ascii="仿宋_GB2312" w:hAnsi="华文仿宋" w:eastAsia="仿宋_GB2312" w:cs="仿宋_GB2312"/>
          <w:b w:val="0"/>
          <w:bCs w:val="0"/>
          <w:color w:val="auto"/>
          <w:sz w:val="32"/>
          <w:szCs w:val="32"/>
          <w:highlight w:val="none"/>
        </w:rPr>
        <w:t>支持金额原则上不超过该企业上年度形成区级地方财政贡献，同一项目不得重复申请资金扶持。</w:t>
      </w:r>
    </w:p>
    <w:p>
      <w:pPr>
        <w:keepNext w:val="0"/>
        <w:keepLines w:val="0"/>
        <w:pageBreakBefore w:val="0"/>
        <w:widowControl w:val="0"/>
        <w:numPr>
          <w:ilvl w:val="-1"/>
          <w:numId w:val="0"/>
        </w:numPr>
        <w:wordWrap/>
        <w:topLinePunct w:val="0"/>
        <w:bidi w:val="0"/>
        <w:adjustRightInd w:val="0"/>
        <w:snapToGrid w:val="0"/>
        <w:spacing w:beforeAutospacing="0" w:afterAutospacing="0" w:line="560" w:lineRule="exact"/>
        <w:ind w:left="0" w:leftChars="0" w:firstLine="643" w:firstLineChars="200"/>
        <w:rPr>
          <w:rFonts w:hint="eastAsia" w:ascii="仿宋_GB2312" w:hAnsi="华文仿宋" w:eastAsia="仿宋_GB2312" w:cs="仿宋_GB2312"/>
          <w:b w:val="0"/>
          <w:bCs w:val="0"/>
          <w:color w:val="auto"/>
          <w:sz w:val="32"/>
          <w:szCs w:val="32"/>
          <w:highlight w:val="none"/>
        </w:rPr>
      </w:pPr>
      <w:r>
        <w:rPr>
          <w:rFonts w:hint="eastAsia" w:ascii="楷体_GB2312" w:hAnsi="楷体_GB2312" w:eastAsia="楷体_GB2312" w:cs="楷体_GB2312"/>
          <w:b/>
          <w:bCs w:val="0"/>
          <w:sz w:val="32"/>
          <w:szCs w:val="24"/>
          <w:highlight w:val="none"/>
          <w:lang w:val="en-US" w:eastAsia="zh-CN"/>
        </w:rPr>
        <w:t xml:space="preserve">第十八条 </w:t>
      </w:r>
      <w:r>
        <w:rPr>
          <w:rFonts w:hint="eastAsia" w:ascii="仿宋_GB2312" w:hAnsi="华文仿宋" w:eastAsia="仿宋_GB2312" w:cs="仿宋_GB2312"/>
          <w:b/>
          <w:bCs/>
          <w:color w:val="auto"/>
          <w:sz w:val="32"/>
          <w:szCs w:val="32"/>
          <w:highlight w:val="none"/>
          <w:lang w:val="en-US" w:eastAsia="zh-CN"/>
        </w:rPr>
        <w:t xml:space="preserve"> </w:t>
      </w:r>
      <w:r>
        <w:rPr>
          <w:rFonts w:hint="eastAsia" w:ascii="仿宋_GB2312" w:hAnsi="华文仿宋" w:eastAsia="仿宋_GB2312" w:cs="仿宋_GB2312"/>
          <w:b w:val="0"/>
          <w:bCs w:val="0"/>
          <w:color w:val="auto"/>
          <w:sz w:val="32"/>
          <w:szCs w:val="32"/>
          <w:highlight w:val="none"/>
        </w:rPr>
        <w:t>本</w:t>
      </w:r>
      <w:r>
        <w:rPr>
          <w:rFonts w:hint="eastAsia" w:ascii="仿宋_GB2312" w:hAnsi="华文仿宋" w:eastAsia="仿宋_GB2312" w:cs="仿宋_GB2312"/>
          <w:b w:val="0"/>
          <w:bCs w:val="0"/>
          <w:color w:val="auto"/>
          <w:sz w:val="32"/>
          <w:szCs w:val="32"/>
          <w:highlight w:val="none"/>
          <w:lang w:eastAsia="zh-CN"/>
        </w:rPr>
        <w:t>措施</w:t>
      </w:r>
      <w:r>
        <w:rPr>
          <w:rFonts w:hint="eastAsia" w:ascii="仿宋_GB2312" w:hAnsi="华文仿宋" w:eastAsia="仿宋_GB2312" w:cs="仿宋_GB2312"/>
          <w:b w:val="0"/>
          <w:bCs w:val="0"/>
          <w:color w:val="auto"/>
          <w:sz w:val="32"/>
          <w:szCs w:val="32"/>
          <w:highlight w:val="none"/>
        </w:rPr>
        <w:t>所称南山区</w:t>
      </w:r>
      <w:r>
        <w:rPr>
          <w:rFonts w:hint="eastAsia" w:ascii="仿宋_GB2312" w:hAnsi="华文仿宋" w:eastAsia="仿宋_GB2312" w:cs="仿宋_GB2312"/>
          <w:b w:val="0"/>
          <w:bCs w:val="0"/>
          <w:color w:val="auto"/>
          <w:sz w:val="32"/>
          <w:szCs w:val="32"/>
          <w:highlight w:val="none"/>
          <w:lang w:val="en-US" w:eastAsia="zh-CN"/>
        </w:rPr>
        <w:t>政策性</w:t>
      </w:r>
      <w:r>
        <w:rPr>
          <w:rFonts w:hint="eastAsia" w:ascii="仿宋_GB2312" w:hAnsi="华文仿宋" w:eastAsia="仿宋_GB2312" w:cs="仿宋_GB2312"/>
          <w:b w:val="0"/>
          <w:bCs w:val="0"/>
          <w:color w:val="auto"/>
          <w:sz w:val="32"/>
          <w:szCs w:val="32"/>
          <w:highlight w:val="none"/>
        </w:rPr>
        <w:t>产业用房是指由区政府、区政府相关部门、区属国企以优惠价格面向符合条件的企业出售或出租的产业用房</w:t>
      </w:r>
      <w:r>
        <w:rPr>
          <w:rFonts w:hint="eastAsia" w:ascii="仿宋_GB2312" w:hAnsi="华文仿宋" w:eastAsia="仿宋_GB2312" w:cs="仿宋_GB2312"/>
          <w:b w:val="0"/>
          <w:bCs w:val="0"/>
          <w:color w:val="auto"/>
          <w:sz w:val="32"/>
          <w:szCs w:val="32"/>
          <w:highlight w:val="none"/>
          <w:lang w:val="en-US" w:eastAsia="zh-CN"/>
        </w:rPr>
        <w:t>。</w:t>
      </w:r>
    </w:p>
    <w:p>
      <w:pPr>
        <w:keepNext w:val="0"/>
        <w:keepLines w:val="0"/>
        <w:pageBreakBefore w:val="0"/>
        <w:widowControl w:val="0"/>
        <w:numPr>
          <w:ilvl w:val="-1"/>
          <w:numId w:val="0"/>
        </w:numPr>
        <w:wordWrap/>
        <w:topLinePunct w:val="0"/>
        <w:bidi w:val="0"/>
        <w:adjustRightInd w:val="0"/>
        <w:snapToGrid w:val="0"/>
        <w:spacing w:beforeAutospacing="0" w:afterAutospacing="0" w:line="560" w:lineRule="exact"/>
        <w:ind w:left="0" w:leftChars="0" w:firstLine="643" w:firstLineChars="200"/>
        <w:rPr>
          <w:rFonts w:hint="eastAsia" w:ascii="仿宋_GB2312" w:hAnsi="华文仿宋" w:eastAsia="仿宋_GB2312" w:cs="仿宋_GB2312"/>
          <w:b w:val="0"/>
          <w:bCs w:val="0"/>
          <w:color w:val="auto"/>
          <w:sz w:val="32"/>
          <w:szCs w:val="32"/>
          <w:highlight w:val="none"/>
        </w:rPr>
      </w:pPr>
      <w:r>
        <w:rPr>
          <w:rFonts w:hint="eastAsia" w:ascii="楷体_GB2312" w:hAnsi="楷体_GB2312" w:eastAsia="楷体_GB2312" w:cs="楷体_GB2312"/>
          <w:b/>
          <w:bCs w:val="0"/>
          <w:sz w:val="32"/>
          <w:szCs w:val="24"/>
          <w:highlight w:val="none"/>
          <w:lang w:val="en-US" w:eastAsia="zh-CN"/>
        </w:rPr>
        <w:t>第十九条</w:t>
      </w:r>
      <w:r>
        <w:rPr>
          <w:rFonts w:hint="eastAsia" w:ascii="仿宋_GB2312" w:hAnsi="华文仿宋" w:eastAsia="仿宋_GB2312" w:cs="仿宋_GB2312"/>
          <w:b/>
          <w:bCs/>
          <w:color w:val="auto"/>
          <w:sz w:val="32"/>
          <w:szCs w:val="32"/>
          <w:highlight w:val="none"/>
          <w:lang w:val="en-US" w:eastAsia="zh-CN"/>
        </w:rPr>
        <w:t xml:space="preserve">  </w:t>
      </w:r>
      <w:r>
        <w:rPr>
          <w:rFonts w:hint="eastAsia" w:ascii="仿宋_GB2312" w:hAnsi="华文仿宋" w:eastAsia="仿宋_GB2312" w:cs="仿宋_GB2312"/>
          <w:b w:val="0"/>
          <w:bCs w:val="0"/>
          <w:color w:val="auto"/>
          <w:sz w:val="32"/>
          <w:szCs w:val="32"/>
          <w:highlight w:val="none"/>
        </w:rPr>
        <w:t>购置自用办公用房补贴与租赁自用办公用房补贴原则上不可同时享受。享受购房补贴的总部企业办公用房，五年内不得出售、出租或改变房屋用途。</w:t>
      </w:r>
    </w:p>
    <w:p>
      <w:pPr>
        <w:keepNext w:val="0"/>
        <w:keepLines w:val="0"/>
        <w:pageBreakBefore w:val="0"/>
        <w:widowControl w:val="0"/>
        <w:numPr>
          <w:ilvl w:val="-1"/>
          <w:numId w:val="0"/>
        </w:numPr>
        <w:wordWrap/>
        <w:topLinePunct w:val="0"/>
        <w:bidi w:val="0"/>
        <w:adjustRightInd w:val="0"/>
        <w:snapToGrid w:val="0"/>
        <w:spacing w:beforeAutospacing="0" w:afterAutospacing="0" w:line="560" w:lineRule="exact"/>
        <w:ind w:left="0" w:leftChars="0" w:firstLine="643" w:firstLineChars="200"/>
        <w:rPr>
          <w:rFonts w:hint="eastAsia" w:ascii="仿宋_GB2312" w:hAnsi="华文仿宋" w:eastAsia="仿宋_GB2312" w:cs="仿宋_GB2312"/>
          <w:b w:val="0"/>
          <w:bCs w:val="0"/>
          <w:color w:val="auto"/>
          <w:sz w:val="32"/>
          <w:szCs w:val="32"/>
          <w:highlight w:val="none"/>
        </w:rPr>
      </w:pPr>
      <w:r>
        <w:rPr>
          <w:rFonts w:hint="eastAsia" w:ascii="楷体_GB2312" w:hAnsi="楷体_GB2312" w:eastAsia="楷体_GB2312" w:cs="楷体_GB2312"/>
          <w:b/>
          <w:bCs w:val="0"/>
          <w:sz w:val="32"/>
          <w:szCs w:val="24"/>
          <w:highlight w:val="none"/>
          <w:lang w:val="en-US" w:eastAsia="zh-CN"/>
        </w:rPr>
        <w:t>第二十条</w:t>
      </w:r>
      <w:r>
        <w:rPr>
          <w:rFonts w:hint="eastAsia" w:ascii="仿宋_GB2312" w:hAnsi="华文仿宋" w:eastAsia="仿宋_GB2312" w:cs="仿宋_GB2312"/>
          <w:b/>
          <w:bCs/>
          <w:color w:val="auto"/>
          <w:sz w:val="32"/>
          <w:szCs w:val="32"/>
          <w:highlight w:val="none"/>
          <w:lang w:val="en-US" w:eastAsia="zh-CN"/>
        </w:rPr>
        <w:t xml:space="preserve">  </w:t>
      </w:r>
      <w:r>
        <w:rPr>
          <w:rFonts w:hint="eastAsia" w:ascii="仿宋_GB2312" w:hAnsi="华文仿宋" w:eastAsia="仿宋_GB2312" w:cs="仿宋_GB2312"/>
          <w:b w:val="0"/>
          <w:bCs w:val="0"/>
          <w:color w:val="auto"/>
          <w:sz w:val="32"/>
          <w:szCs w:val="32"/>
          <w:highlight w:val="none"/>
        </w:rPr>
        <w:t>区总部企业应按要求及时向区统计部门报送相关数据，对涉及变更企业名称、注册资本、合并、分立、股权转让、迁出等重大事项的，应及时书面告知区工业和信息化局。</w:t>
      </w:r>
    </w:p>
    <w:p>
      <w:pPr>
        <w:keepNext w:val="0"/>
        <w:keepLines w:val="0"/>
        <w:pageBreakBefore w:val="0"/>
        <w:widowControl w:val="0"/>
        <w:numPr>
          <w:ilvl w:val="-1"/>
          <w:numId w:val="0"/>
        </w:numPr>
        <w:wordWrap/>
        <w:topLinePunct w:val="0"/>
        <w:bidi w:val="0"/>
        <w:adjustRightInd w:val="0"/>
        <w:snapToGrid w:val="0"/>
        <w:spacing w:beforeAutospacing="0" w:afterAutospacing="0" w:line="560" w:lineRule="exact"/>
        <w:ind w:left="0" w:leftChars="0" w:firstLine="643" w:firstLineChars="200"/>
        <w:rPr>
          <w:rFonts w:hint="eastAsia" w:ascii="仿宋_GB2312" w:hAnsi="华文仿宋" w:eastAsia="仿宋_GB2312" w:cs="仿宋_GB2312"/>
          <w:color w:val="auto"/>
          <w:sz w:val="32"/>
          <w:szCs w:val="32"/>
          <w:highlight w:val="none"/>
        </w:rPr>
      </w:pPr>
      <w:r>
        <w:rPr>
          <w:rFonts w:hint="eastAsia" w:ascii="楷体_GB2312" w:hAnsi="楷体_GB2312" w:eastAsia="楷体_GB2312" w:cs="楷体_GB2312"/>
          <w:b/>
          <w:bCs w:val="0"/>
          <w:sz w:val="32"/>
          <w:szCs w:val="24"/>
          <w:highlight w:val="none"/>
          <w:lang w:val="en-US" w:eastAsia="zh-CN"/>
        </w:rPr>
        <w:t xml:space="preserve">第二十一条 </w:t>
      </w:r>
      <w:r>
        <w:rPr>
          <w:rFonts w:hint="eastAsia" w:ascii="仿宋_GB2312" w:hAnsi="华文仿宋" w:eastAsia="仿宋_GB2312" w:cs="仿宋_GB2312"/>
          <w:b/>
          <w:bCs/>
          <w:color w:val="auto"/>
          <w:sz w:val="32"/>
          <w:szCs w:val="32"/>
          <w:highlight w:val="none"/>
          <w:lang w:val="en-US" w:eastAsia="zh-CN"/>
        </w:rPr>
        <w:t xml:space="preserve"> </w:t>
      </w:r>
      <w:r>
        <w:rPr>
          <w:rFonts w:hint="eastAsia" w:ascii="仿宋_GB2312" w:hAnsi="华文仿宋" w:eastAsia="仿宋_GB2312" w:cs="仿宋_GB2312"/>
          <w:color w:val="auto"/>
          <w:sz w:val="32"/>
          <w:szCs w:val="32"/>
          <w:highlight w:val="none"/>
        </w:rPr>
        <w:t>区工业和信息化局</w:t>
      </w:r>
      <w:r>
        <w:rPr>
          <w:rFonts w:hint="eastAsia" w:ascii="仿宋_GB2312" w:hAnsi="华文仿宋" w:eastAsia="仿宋_GB2312" w:cs="仿宋_GB2312"/>
          <w:color w:val="auto"/>
          <w:sz w:val="32"/>
          <w:szCs w:val="32"/>
          <w:highlight w:val="none"/>
          <w:lang w:val="en-US" w:eastAsia="zh-CN"/>
        </w:rPr>
        <w:t>建立区总部企业服务考评机制，以</w:t>
      </w:r>
      <w:r>
        <w:rPr>
          <w:rFonts w:hint="eastAsia" w:ascii="仿宋_GB2312" w:hAnsi="华文仿宋" w:eastAsia="仿宋_GB2312" w:cs="仿宋_GB2312"/>
          <w:color w:val="auto"/>
          <w:sz w:val="32"/>
          <w:szCs w:val="32"/>
          <w:highlight w:val="none"/>
        </w:rPr>
        <w:t>企业满意度评价、企业诉求办结率、</w:t>
      </w:r>
      <w:r>
        <w:rPr>
          <w:rFonts w:hint="eastAsia" w:ascii="仿宋_GB2312" w:hAnsi="华文仿宋" w:eastAsia="仿宋_GB2312" w:cs="仿宋_GB2312"/>
          <w:color w:val="auto"/>
          <w:sz w:val="32"/>
          <w:szCs w:val="32"/>
          <w:highlight w:val="none"/>
          <w:lang w:val="en-US" w:eastAsia="zh-CN"/>
        </w:rPr>
        <w:t>企业发展</w:t>
      </w:r>
      <w:r>
        <w:rPr>
          <w:rFonts w:hint="eastAsia" w:ascii="仿宋_GB2312" w:hAnsi="华文仿宋" w:eastAsia="仿宋_GB2312" w:cs="仿宋_GB2312"/>
          <w:color w:val="auto"/>
          <w:sz w:val="32"/>
          <w:szCs w:val="32"/>
          <w:highlight w:val="none"/>
        </w:rPr>
        <w:t>情况等作为考评依据，</w:t>
      </w:r>
      <w:r>
        <w:rPr>
          <w:rFonts w:hint="eastAsia" w:ascii="仿宋_GB2312" w:hAnsi="华文仿宋" w:eastAsia="仿宋_GB2312" w:cs="仿宋_GB2312"/>
          <w:color w:val="auto"/>
          <w:sz w:val="32"/>
          <w:szCs w:val="32"/>
          <w:highlight w:val="none"/>
          <w:lang w:val="en-US" w:eastAsia="zh-CN"/>
        </w:rPr>
        <w:t>每年对各街道和相关部门服务区总部企业情况进行考核评价，并对区总部企业运行情况和存在问题进行分析总结，提出对策建议，形成年度区总部企业发展和服务情况报告</w:t>
      </w:r>
      <w:r>
        <w:rPr>
          <w:rFonts w:hint="eastAsia" w:ascii="仿宋_GB2312" w:hAnsi="华文仿宋" w:eastAsia="仿宋_GB2312" w:cs="仿宋_GB2312"/>
          <w:color w:val="auto"/>
          <w:sz w:val="32"/>
          <w:szCs w:val="32"/>
          <w:highlight w:val="none"/>
        </w:rPr>
        <w:t>。</w:t>
      </w:r>
    </w:p>
    <w:p>
      <w:pPr>
        <w:keepNext w:val="0"/>
        <w:keepLines w:val="0"/>
        <w:pageBreakBefore w:val="0"/>
        <w:widowControl w:val="0"/>
        <w:numPr>
          <w:ilvl w:val="-1"/>
          <w:numId w:val="0"/>
        </w:numPr>
        <w:wordWrap/>
        <w:topLinePunct w:val="0"/>
        <w:bidi w:val="0"/>
        <w:adjustRightInd w:val="0"/>
        <w:snapToGrid w:val="0"/>
        <w:spacing w:beforeAutospacing="0" w:afterAutospacing="0" w:line="560" w:lineRule="exact"/>
        <w:ind w:left="0" w:leftChars="0" w:firstLine="643" w:firstLineChars="200"/>
        <w:rPr>
          <w:rFonts w:hint="eastAsia" w:ascii="仿宋_GB2312" w:hAnsi="华文仿宋" w:eastAsia="仿宋_GB2312" w:cs="仿宋_GB2312"/>
          <w:color w:val="auto"/>
          <w:sz w:val="32"/>
          <w:szCs w:val="32"/>
          <w:highlight w:val="none"/>
        </w:rPr>
      </w:pPr>
      <w:r>
        <w:rPr>
          <w:rFonts w:hint="eastAsia" w:ascii="楷体_GB2312" w:hAnsi="楷体_GB2312" w:eastAsia="楷体_GB2312" w:cs="楷体_GB2312"/>
          <w:b/>
          <w:bCs w:val="0"/>
          <w:sz w:val="32"/>
          <w:szCs w:val="24"/>
          <w:highlight w:val="none"/>
          <w:lang w:val="en-US" w:eastAsia="zh-CN"/>
        </w:rPr>
        <w:t>第二十二条</w:t>
      </w:r>
      <w:r>
        <w:rPr>
          <w:rFonts w:hint="eastAsia" w:ascii="仿宋_GB2312" w:hAnsi="华文仿宋" w:eastAsia="仿宋_GB2312" w:cs="仿宋_GB2312"/>
          <w:b/>
          <w:bCs/>
          <w:color w:val="auto"/>
          <w:sz w:val="32"/>
          <w:szCs w:val="32"/>
          <w:highlight w:val="none"/>
          <w:lang w:val="en-US" w:eastAsia="zh-CN"/>
        </w:rPr>
        <w:t xml:space="preserve">  </w:t>
      </w:r>
      <w:r>
        <w:rPr>
          <w:rFonts w:hint="eastAsia" w:ascii="仿宋_GB2312" w:hAnsi="华文仿宋" w:eastAsia="仿宋_GB2312" w:cs="仿宋_GB2312"/>
          <w:color w:val="auto"/>
          <w:sz w:val="32"/>
          <w:szCs w:val="32"/>
          <w:highlight w:val="none"/>
        </w:rPr>
        <w:t>区总部企业违反本</w:t>
      </w:r>
      <w:r>
        <w:rPr>
          <w:rFonts w:hint="eastAsia" w:ascii="仿宋_GB2312" w:hAnsi="华文仿宋" w:eastAsia="仿宋_GB2312" w:cs="仿宋_GB2312"/>
          <w:color w:val="auto"/>
          <w:sz w:val="32"/>
          <w:szCs w:val="32"/>
          <w:highlight w:val="none"/>
          <w:lang w:eastAsia="zh-CN"/>
        </w:rPr>
        <w:t>措施</w:t>
      </w:r>
      <w:r>
        <w:rPr>
          <w:rFonts w:hint="eastAsia" w:ascii="仿宋_GB2312" w:hAnsi="华文仿宋" w:eastAsia="仿宋_GB2312" w:cs="仿宋_GB2312"/>
          <w:color w:val="auto"/>
          <w:sz w:val="32"/>
          <w:szCs w:val="32"/>
          <w:highlight w:val="none"/>
        </w:rPr>
        <w:t>第十</w:t>
      </w:r>
      <w:r>
        <w:rPr>
          <w:rFonts w:hint="eastAsia" w:ascii="仿宋_GB2312" w:hAnsi="华文仿宋" w:eastAsia="仿宋_GB2312" w:cs="仿宋_GB2312"/>
          <w:color w:val="auto"/>
          <w:sz w:val="32"/>
          <w:szCs w:val="32"/>
          <w:highlight w:val="none"/>
          <w:lang w:val="en-US" w:eastAsia="zh-CN"/>
        </w:rPr>
        <w:t>九</w:t>
      </w:r>
      <w:r>
        <w:rPr>
          <w:rFonts w:hint="eastAsia" w:ascii="仿宋_GB2312" w:hAnsi="华文仿宋" w:eastAsia="仿宋_GB2312" w:cs="仿宋_GB2312"/>
          <w:color w:val="auto"/>
          <w:sz w:val="32"/>
          <w:szCs w:val="32"/>
          <w:highlight w:val="none"/>
        </w:rPr>
        <w:t>条规定的，或在申报过程中存在弄虚作假行为获取扶持政策的，应退还所有获得补贴，并将失信行为纳入企业信用信息。</w:t>
      </w:r>
    </w:p>
    <w:p>
      <w:pPr>
        <w:keepNext w:val="0"/>
        <w:keepLines w:val="0"/>
        <w:pageBreakBefore w:val="0"/>
        <w:widowControl w:val="0"/>
        <w:numPr>
          <w:ilvl w:val="-1"/>
          <w:numId w:val="0"/>
        </w:numPr>
        <w:wordWrap/>
        <w:topLinePunct w:val="0"/>
        <w:bidi w:val="0"/>
        <w:adjustRightInd w:val="0"/>
        <w:snapToGrid w:val="0"/>
        <w:spacing w:beforeAutospacing="0" w:afterAutospacing="0" w:line="560" w:lineRule="exact"/>
        <w:ind w:left="0" w:leftChars="0" w:firstLine="643" w:firstLineChars="200"/>
        <w:rPr>
          <w:rFonts w:hint="eastAsia" w:ascii="仿宋_GB2312" w:hAnsi="华文仿宋" w:eastAsia="仿宋_GB2312" w:cs="仿宋_GB2312"/>
          <w:color w:val="auto"/>
          <w:sz w:val="32"/>
          <w:szCs w:val="32"/>
          <w:highlight w:val="none"/>
        </w:rPr>
      </w:pPr>
      <w:r>
        <w:rPr>
          <w:rFonts w:hint="eastAsia" w:ascii="楷体_GB2312" w:hAnsi="楷体_GB2312" w:eastAsia="楷体_GB2312" w:cs="楷体_GB2312"/>
          <w:b/>
          <w:bCs w:val="0"/>
          <w:sz w:val="32"/>
          <w:szCs w:val="24"/>
          <w:highlight w:val="none"/>
          <w:lang w:val="en-US" w:eastAsia="zh-CN"/>
        </w:rPr>
        <w:t xml:space="preserve">第二十三条 </w:t>
      </w:r>
      <w:r>
        <w:rPr>
          <w:rFonts w:hint="eastAsia" w:ascii="仿宋_GB2312" w:hAnsi="华文仿宋" w:eastAsia="仿宋_GB2312" w:cs="仿宋_GB2312"/>
          <w:b/>
          <w:bCs/>
          <w:color w:val="auto"/>
          <w:sz w:val="32"/>
          <w:szCs w:val="32"/>
          <w:highlight w:val="none"/>
          <w:lang w:val="en-US" w:eastAsia="zh-CN"/>
        </w:rPr>
        <w:t xml:space="preserve"> </w:t>
      </w:r>
      <w:r>
        <w:rPr>
          <w:rFonts w:hint="eastAsia" w:ascii="仿宋_GB2312" w:hAnsi="华文仿宋" w:eastAsia="仿宋_GB2312" w:cs="仿宋_GB2312"/>
          <w:color w:val="auto"/>
          <w:sz w:val="32"/>
          <w:szCs w:val="32"/>
          <w:highlight w:val="none"/>
        </w:rPr>
        <w:t>本</w:t>
      </w:r>
      <w:r>
        <w:rPr>
          <w:rFonts w:hint="eastAsia" w:ascii="仿宋_GB2312" w:hAnsi="华文仿宋" w:eastAsia="仿宋_GB2312" w:cs="仿宋_GB2312"/>
          <w:color w:val="auto"/>
          <w:sz w:val="32"/>
          <w:szCs w:val="32"/>
          <w:highlight w:val="none"/>
          <w:lang w:eastAsia="zh-CN"/>
        </w:rPr>
        <w:t>措施</w:t>
      </w:r>
      <w:r>
        <w:rPr>
          <w:rFonts w:hint="eastAsia" w:ascii="仿宋_GB2312" w:hAnsi="华文仿宋" w:eastAsia="仿宋_GB2312" w:cs="仿宋_GB2312"/>
          <w:color w:val="auto"/>
          <w:sz w:val="32"/>
          <w:szCs w:val="32"/>
          <w:highlight w:val="none"/>
        </w:rPr>
        <w:t>的奖励与补助资金在南山区自主创新产业发展专项资金中列支，并按</w:t>
      </w:r>
      <w:r>
        <w:rPr>
          <w:rFonts w:hint="eastAsia" w:ascii="仿宋_GB2312" w:hAnsi="华文仿宋" w:eastAsia="仿宋_GB2312" w:cs="仿宋_GB2312"/>
          <w:color w:val="auto"/>
          <w:sz w:val="32"/>
          <w:szCs w:val="32"/>
          <w:highlight w:val="none"/>
          <w:lang w:eastAsia="zh-CN"/>
        </w:rPr>
        <w:t>《南山区自主创新产业发展专项资金管理办法》</w:t>
      </w:r>
      <w:r>
        <w:rPr>
          <w:rFonts w:hint="eastAsia" w:ascii="仿宋_GB2312" w:hAnsi="华文仿宋" w:eastAsia="仿宋_GB2312" w:cs="仿宋_GB2312"/>
          <w:color w:val="auto"/>
          <w:sz w:val="32"/>
          <w:szCs w:val="32"/>
          <w:highlight w:val="none"/>
        </w:rPr>
        <w:t>实施。</w:t>
      </w:r>
    </w:p>
    <w:p>
      <w:pPr>
        <w:keepNext w:val="0"/>
        <w:keepLines w:val="0"/>
        <w:pageBreakBefore w:val="0"/>
        <w:widowControl w:val="0"/>
        <w:numPr>
          <w:ilvl w:val="-1"/>
          <w:numId w:val="0"/>
        </w:numPr>
        <w:wordWrap/>
        <w:topLinePunct w:val="0"/>
        <w:bidi w:val="0"/>
        <w:adjustRightInd w:val="0"/>
        <w:snapToGrid w:val="0"/>
        <w:spacing w:beforeAutospacing="0" w:afterAutospacing="0" w:line="560" w:lineRule="exact"/>
        <w:ind w:left="0" w:leftChars="0" w:firstLine="643" w:firstLineChars="200"/>
        <w:rPr>
          <w:rFonts w:hint="eastAsia" w:ascii="仿宋_GB2312" w:hAnsi="华文仿宋" w:eastAsia="仿宋_GB2312" w:cs="仿宋_GB2312"/>
          <w:color w:val="auto"/>
          <w:sz w:val="32"/>
          <w:szCs w:val="32"/>
          <w:highlight w:val="none"/>
        </w:rPr>
      </w:pPr>
      <w:r>
        <w:rPr>
          <w:rFonts w:hint="eastAsia" w:ascii="楷体_GB2312" w:hAnsi="楷体_GB2312" w:eastAsia="楷体_GB2312" w:cs="楷体_GB2312"/>
          <w:b/>
          <w:bCs w:val="0"/>
          <w:sz w:val="32"/>
          <w:szCs w:val="24"/>
          <w:highlight w:val="none"/>
          <w:lang w:val="en-US" w:eastAsia="zh-CN"/>
        </w:rPr>
        <w:t>第二十四条</w:t>
      </w:r>
      <w:r>
        <w:rPr>
          <w:rFonts w:hint="eastAsia" w:ascii="仿宋_GB2312" w:hAnsi="华文仿宋" w:eastAsia="仿宋_GB2312" w:cs="仿宋_GB2312"/>
          <w:b/>
          <w:bCs/>
          <w:color w:val="auto"/>
          <w:sz w:val="32"/>
          <w:szCs w:val="32"/>
          <w:highlight w:val="none"/>
          <w:lang w:val="en-US" w:eastAsia="zh-CN"/>
        </w:rPr>
        <w:t xml:space="preserve">  </w:t>
      </w:r>
      <w:r>
        <w:rPr>
          <w:rFonts w:hint="eastAsia" w:ascii="仿宋_GB2312" w:hAnsi="华文仿宋" w:eastAsia="仿宋_GB2312" w:cs="仿宋_GB2312"/>
          <w:color w:val="auto"/>
          <w:sz w:val="32"/>
          <w:szCs w:val="32"/>
          <w:highlight w:val="none"/>
        </w:rPr>
        <w:t>本</w:t>
      </w:r>
      <w:r>
        <w:rPr>
          <w:rFonts w:hint="eastAsia" w:ascii="仿宋_GB2312" w:hAnsi="华文仿宋" w:eastAsia="仿宋_GB2312" w:cs="仿宋_GB2312"/>
          <w:color w:val="auto"/>
          <w:sz w:val="32"/>
          <w:szCs w:val="32"/>
          <w:highlight w:val="none"/>
          <w:lang w:eastAsia="zh-CN"/>
        </w:rPr>
        <w:t>措施</w:t>
      </w:r>
      <w:r>
        <w:rPr>
          <w:rFonts w:hint="eastAsia" w:ascii="仿宋_GB2312" w:hAnsi="华文仿宋" w:eastAsia="仿宋_GB2312" w:cs="仿宋_GB2312"/>
          <w:color w:val="auto"/>
          <w:sz w:val="32"/>
          <w:szCs w:val="32"/>
          <w:highlight w:val="none"/>
        </w:rPr>
        <w:t>由区工业和信息化局负责解释。</w:t>
      </w:r>
    </w:p>
    <w:p>
      <w:pPr>
        <w:keepNext w:val="0"/>
        <w:keepLines w:val="0"/>
        <w:pageBreakBefore w:val="0"/>
        <w:widowControl w:val="0"/>
        <w:numPr>
          <w:ilvl w:val="-1"/>
          <w:numId w:val="0"/>
        </w:numPr>
        <w:wordWrap/>
        <w:topLinePunct w:val="0"/>
        <w:bidi w:val="0"/>
        <w:adjustRightInd w:val="0"/>
        <w:snapToGrid w:val="0"/>
        <w:spacing w:beforeAutospacing="0" w:afterAutospacing="0" w:line="560" w:lineRule="exact"/>
        <w:ind w:left="0" w:leftChars="0" w:firstLine="643" w:firstLineChars="200"/>
        <w:rPr>
          <w:rFonts w:hint="eastAsia" w:ascii="仿宋_GB2312" w:hAnsi="华文仿宋" w:eastAsia="仿宋_GB2312" w:cs="仿宋_GB2312"/>
          <w:color w:val="auto"/>
          <w:sz w:val="32"/>
          <w:szCs w:val="32"/>
          <w:highlight w:val="none"/>
        </w:rPr>
      </w:pPr>
      <w:r>
        <w:rPr>
          <w:rFonts w:hint="eastAsia" w:ascii="楷体_GB2312" w:hAnsi="楷体_GB2312" w:eastAsia="楷体_GB2312" w:cs="楷体_GB2312"/>
          <w:b/>
          <w:bCs w:val="0"/>
          <w:sz w:val="32"/>
          <w:szCs w:val="24"/>
          <w:highlight w:val="none"/>
          <w:lang w:val="en-US" w:eastAsia="zh-CN"/>
        </w:rPr>
        <w:t xml:space="preserve">第二十五条 </w:t>
      </w:r>
      <w:r>
        <w:rPr>
          <w:rFonts w:hint="eastAsia" w:ascii="仿宋_GB2312" w:hAnsi="华文仿宋" w:eastAsia="仿宋_GB2312" w:cs="仿宋_GB2312"/>
          <w:b/>
          <w:bCs/>
          <w:color w:val="auto"/>
          <w:sz w:val="32"/>
          <w:szCs w:val="32"/>
          <w:highlight w:val="none"/>
          <w:lang w:val="en-US" w:eastAsia="zh-CN"/>
        </w:rPr>
        <w:t xml:space="preserve"> </w:t>
      </w:r>
      <w:r>
        <w:rPr>
          <w:rFonts w:hint="eastAsia" w:ascii="仿宋_GB2312" w:hAnsi="华文仿宋" w:eastAsia="仿宋_GB2312" w:cs="仿宋_GB2312"/>
          <w:color w:val="auto"/>
          <w:sz w:val="32"/>
          <w:szCs w:val="32"/>
          <w:highlight w:val="none"/>
        </w:rPr>
        <w:t>本</w:t>
      </w:r>
      <w:r>
        <w:rPr>
          <w:rFonts w:hint="eastAsia" w:ascii="仿宋_GB2312" w:hAnsi="华文仿宋" w:eastAsia="仿宋_GB2312" w:cs="仿宋_GB2312"/>
          <w:color w:val="auto"/>
          <w:sz w:val="32"/>
          <w:szCs w:val="32"/>
          <w:highlight w:val="none"/>
          <w:lang w:eastAsia="zh-CN"/>
        </w:rPr>
        <w:t>措施自发布之日</w:t>
      </w:r>
      <w:r>
        <w:rPr>
          <w:rFonts w:hint="eastAsia" w:ascii="仿宋_GB2312" w:hAnsi="华文仿宋" w:eastAsia="仿宋_GB2312" w:cs="仿宋_GB2312"/>
          <w:color w:val="auto"/>
          <w:sz w:val="32"/>
          <w:szCs w:val="32"/>
          <w:highlight w:val="none"/>
        </w:rPr>
        <w:t>起实施，有效期三年。《南山区鼓励总部企业发展实施办法》（深南府办规〔2019〕3号）同时废止。</w:t>
      </w:r>
    </w:p>
    <w:p>
      <w:pPr>
        <w:pStyle w:val="12"/>
        <w:keepNext w:val="0"/>
        <w:keepLines w:val="0"/>
        <w:pageBreakBefore w:val="0"/>
        <w:widowControl w:val="0"/>
        <w:wordWrap/>
        <w:topLinePunct w:val="0"/>
        <w:bidi w:val="0"/>
        <w:spacing w:beforeAutospacing="0" w:after="0" w:afterAutospacing="0" w:line="560" w:lineRule="exact"/>
        <w:ind w:left="0" w:leftChars="0" w:firstLine="640" w:firstLineChars="200"/>
        <w:rPr>
          <w:rFonts w:hint="default" w:ascii="仿宋_GB2312" w:hAnsi="Times New Roman" w:eastAsia="仿宋_GB2312" w:cs="Times New Roman"/>
          <w:bCs/>
          <w:kern w:val="44"/>
          <w:sz w:val="32"/>
          <w:szCs w:val="32"/>
          <w:highlight w:val="none"/>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firstLine="640" w:firstLineChars="200"/>
        <w:rPr>
          <w:rFonts w:hint="default" w:ascii="仿宋_GB2312" w:hAnsi="Times New Roman" w:eastAsia="仿宋_GB2312" w:cs="Times New Roman"/>
          <w:bCs/>
          <w:kern w:val="44"/>
          <w:sz w:val="32"/>
          <w:szCs w:val="32"/>
          <w:highlight w:val="none"/>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firstLine="640" w:firstLineChars="200"/>
        <w:rPr>
          <w:rFonts w:hint="default" w:ascii="仿宋_GB2312" w:hAnsi="Times New Roman" w:eastAsia="仿宋_GB2312" w:cs="Times New Roman"/>
          <w:bCs/>
          <w:kern w:val="44"/>
          <w:sz w:val="32"/>
          <w:szCs w:val="32"/>
          <w:highlight w:val="none"/>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firstLine="640" w:firstLineChars="200"/>
        <w:rPr>
          <w:rFonts w:hint="default" w:ascii="仿宋_GB2312" w:hAnsi="Times New Roman" w:eastAsia="仿宋_GB2312" w:cs="Times New Roman"/>
          <w:bCs/>
          <w:kern w:val="44"/>
          <w:sz w:val="32"/>
          <w:szCs w:val="32"/>
          <w:highlight w:val="none"/>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firstLine="640" w:firstLineChars="200"/>
        <w:rPr>
          <w:rFonts w:hint="default" w:ascii="仿宋_GB2312" w:hAnsi="Times New Roman" w:eastAsia="仿宋_GB2312" w:cs="Times New Roman"/>
          <w:bCs/>
          <w:kern w:val="44"/>
          <w:sz w:val="32"/>
          <w:szCs w:val="32"/>
          <w:highlight w:val="none"/>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firstLine="640" w:firstLineChars="200"/>
        <w:rPr>
          <w:rFonts w:hint="default" w:ascii="仿宋_GB2312" w:hAnsi="Times New Roman" w:eastAsia="仿宋_GB2312" w:cs="Times New Roman"/>
          <w:bCs/>
          <w:kern w:val="44"/>
          <w:sz w:val="32"/>
          <w:szCs w:val="32"/>
          <w:highlight w:val="none"/>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firstLine="640" w:firstLineChars="200"/>
        <w:rPr>
          <w:rFonts w:hint="default" w:ascii="仿宋_GB2312" w:hAnsi="Times New Roman" w:eastAsia="仿宋_GB2312" w:cs="Times New Roman"/>
          <w:bCs/>
          <w:kern w:val="44"/>
          <w:sz w:val="32"/>
          <w:szCs w:val="32"/>
          <w:highlight w:val="none"/>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firstLine="640" w:firstLineChars="200"/>
        <w:rPr>
          <w:rFonts w:hint="default" w:ascii="仿宋_GB2312" w:hAnsi="Times New Roman" w:eastAsia="仿宋_GB2312" w:cs="Times New Roman"/>
          <w:bCs/>
          <w:kern w:val="44"/>
          <w:sz w:val="32"/>
          <w:szCs w:val="32"/>
          <w:highlight w:val="none"/>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firstLine="640" w:firstLineChars="200"/>
        <w:rPr>
          <w:rFonts w:hint="default" w:ascii="仿宋_GB2312" w:hAnsi="Times New Roman" w:eastAsia="仿宋_GB2312" w:cs="Times New Roman"/>
          <w:bCs/>
          <w:kern w:val="44"/>
          <w:sz w:val="32"/>
          <w:szCs w:val="32"/>
          <w:highlight w:val="none"/>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firstLine="640" w:firstLineChars="200"/>
        <w:rPr>
          <w:rFonts w:hint="default" w:ascii="仿宋_GB2312" w:hAnsi="Times New Roman" w:eastAsia="仿宋_GB2312" w:cs="Times New Roman"/>
          <w:bCs/>
          <w:kern w:val="44"/>
          <w:sz w:val="32"/>
          <w:szCs w:val="32"/>
          <w:highlight w:val="none"/>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firstLine="640" w:firstLineChars="200"/>
        <w:rPr>
          <w:rFonts w:hint="default" w:ascii="仿宋_GB2312" w:hAnsi="Times New Roman" w:eastAsia="仿宋_GB2312" w:cs="Times New Roman"/>
          <w:bCs/>
          <w:kern w:val="44"/>
          <w:sz w:val="32"/>
          <w:szCs w:val="32"/>
          <w:highlight w:val="none"/>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firstLine="640" w:firstLineChars="200"/>
        <w:rPr>
          <w:rFonts w:hint="default" w:ascii="仿宋_GB2312" w:hAnsi="Times New Roman" w:eastAsia="仿宋_GB2312" w:cs="Times New Roman"/>
          <w:bCs/>
          <w:kern w:val="44"/>
          <w:sz w:val="32"/>
          <w:szCs w:val="32"/>
          <w:highlight w:val="none"/>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firstLine="640" w:firstLineChars="200"/>
        <w:rPr>
          <w:rFonts w:hint="default" w:ascii="仿宋_GB2312" w:hAnsi="Times New Roman" w:eastAsia="仿宋_GB2312" w:cs="Times New Roman"/>
          <w:bCs/>
          <w:kern w:val="44"/>
          <w:sz w:val="32"/>
          <w:szCs w:val="32"/>
          <w:highlight w:val="none"/>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firstLine="640" w:firstLineChars="200"/>
        <w:rPr>
          <w:rFonts w:hint="default" w:ascii="仿宋_GB2312" w:hAnsi="Times New Roman" w:eastAsia="仿宋_GB2312" w:cs="Times New Roman"/>
          <w:bCs/>
          <w:kern w:val="44"/>
          <w:sz w:val="32"/>
          <w:szCs w:val="32"/>
          <w:highlight w:val="none"/>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firstLine="640" w:firstLineChars="200"/>
        <w:rPr>
          <w:rFonts w:hint="default" w:ascii="仿宋_GB2312" w:hAnsi="Times New Roman" w:eastAsia="仿宋_GB2312" w:cs="Times New Roman"/>
          <w:bCs/>
          <w:kern w:val="44"/>
          <w:sz w:val="32"/>
          <w:szCs w:val="32"/>
          <w:highlight w:val="none"/>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firstLine="640" w:firstLineChars="200"/>
        <w:rPr>
          <w:rFonts w:hint="default" w:ascii="仿宋_GB2312" w:hAnsi="Times New Roman" w:eastAsia="仿宋_GB2312" w:cs="Times New Roman"/>
          <w:bCs/>
          <w:kern w:val="44"/>
          <w:sz w:val="32"/>
          <w:szCs w:val="32"/>
          <w:highlight w:val="none"/>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firstLine="640" w:firstLineChars="200"/>
        <w:rPr>
          <w:rFonts w:hint="default" w:ascii="仿宋_GB2312" w:hAnsi="Times New Roman" w:eastAsia="仿宋_GB2312" w:cs="Times New Roman"/>
          <w:bCs/>
          <w:kern w:val="44"/>
          <w:sz w:val="32"/>
          <w:szCs w:val="32"/>
          <w:highlight w:val="none"/>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firstLine="640" w:firstLineChars="200"/>
        <w:rPr>
          <w:rFonts w:hint="default" w:ascii="仿宋_GB2312" w:hAnsi="Times New Roman" w:eastAsia="仿宋_GB2312" w:cs="Times New Roman"/>
          <w:bCs/>
          <w:kern w:val="44"/>
          <w:sz w:val="32"/>
          <w:szCs w:val="32"/>
          <w:highlight w:val="none"/>
          <w:lang w:val="en-US" w:eastAsia="zh-CN" w:bidi="ar-SA"/>
        </w:rPr>
      </w:pPr>
    </w:p>
    <w:p>
      <w:pPr>
        <w:rPr>
          <w:rFonts w:hint="eastAsia" w:ascii="方正小标宋简体" w:hAnsi="方正小标宋简体" w:eastAsia="方正小标宋简体" w:cs="方正小标宋简体"/>
          <w:sz w:val="44"/>
          <w:szCs w:val="44"/>
        </w:rPr>
      </w:pPr>
      <w:bookmarkStart w:id="365" w:name="_Toc25022"/>
      <w:bookmarkStart w:id="366" w:name="_Toc32239"/>
      <w:bookmarkStart w:id="367" w:name="_Toc23549"/>
      <w:bookmarkStart w:id="368" w:name="_Toc20720"/>
      <w:bookmarkStart w:id="369" w:name="_Toc23801"/>
      <w:bookmarkStart w:id="370" w:name="_Toc19915"/>
      <w:bookmarkStart w:id="371" w:name="_Toc29248"/>
      <w:bookmarkStart w:id="372" w:name="_Toc7925"/>
      <w:bookmarkStart w:id="373" w:name="_Toc5471"/>
      <w:bookmarkStart w:id="374" w:name="_Toc4663"/>
      <w:bookmarkStart w:id="375" w:name="_Toc27806"/>
      <w:bookmarkStart w:id="376" w:name="_Toc10587"/>
      <w:bookmarkStart w:id="377" w:name="_Toc21891"/>
      <w:bookmarkStart w:id="378" w:name="_Toc15490"/>
      <w:bookmarkStart w:id="379" w:name="_Toc17349"/>
      <w:bookmarkStart w:id="380" w:name="_Toc2378"/>
      <w:bookmarkStart w:id="381" w:name="_Toc31686"/>
      <w:bookmarkStart w:id="382" w:name="_Toc21320"/>
      <w:r>
        <w:rPr>
          <w:rFonts w:hint="eastAsia" w:ascii="方正小标宋简体" w:hAnsi="方正小标宋简体" w:eastAsia="方正小标宋简体" w:cs="方正小标宋简体"/>
          <w:sz w:val="44"/>
          <w:szCs w:val="44"/>
        </w:rPr>
        <w:br w:type="page"/>
      </w:r>
    </w:p>
    <w:p>
      <w:pPr>
        <w:keepNext w:val="0"/>
        <w:keepLines w:val="0"/>
        <w:pageBreakBefore w:val="0"/>
        <w:widowControl w:val="0"/>
        <w:wordWrap/>
        <w:topLinePunct w:val="0"/>
        <w:bidi w:val="0"/>
        <w:spacing w:beforeAutospacing="0" w:afterAutospacing="0" w:line="560" w:lineRule="exact"/>
        <w:ind w:left="0" w:leftChars="0"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南山区</w:t>
      </w:r>
      <w:r>
        <w:rPr>
          <w:rFonts w:hint="eastAsia" w:ascii="方正小标宋简体" w:hAnsi="方正小标宋简体" w:eastAsia="方正小标宋简体" w:cs="方正小标宋简体"/>
          <w:sz w:val="44"/>
          <w:szCs w:val="44"/>
          <w:lang w:eastAsia="zh-CN"/>
        </w:rPr>
        <w:t>促进</w:t>
      </w:r>
      <w:r>
        <w:rPr>
          <w:rFonts w:hint="eastAsia" w:ascii="方正小标宋简体" w:hAnsi="方正小标宋简体" w:eastAsia="方正小标宋简体" w:cs="方正小标宋简体"/>
          <w:sz w:val="44"/>
          <w:szCs w:val="44"/>
        </w:rPr>
        <w:t>高端制造业发展专项扶持措施</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2"/>
        <w:keepNext w:val="0"/>
        <w:keepLines w:val="0"/>
        <w:pageBreakBefore w:val="0"/>
        <w:widowControl w:val="0"/>
        <w:wordWrap/>
        <w:topLinePunct w:val="0"/>
        <w:bidi w:val="0"/>
        <w:spacing w:before="0" w:beforeLines="0" w:beforeAutospacing="0" w:after="0" w:afterLines="0" w:afterAutospacing="0" w:line="560" w:lineRule="exact"/>
        <w:ind w:left="0" w:leftChars="0"/>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（征求意见稿）</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textAlignment w:val="auto"/>
        <w:rPr>
          <w:rFonts w:hint="eastAsia"/>
        </w:rPr>
      </w:pPr>
      <w:bookmarkStart w:id="383" w:name="_Toc457"/>
      <w:bookmarkStart w:id="384" w:name="_Toc14004"/>
      <w:bookmarkStart w:id="385" w:name="_Toc483"/>
      <w:bookmarkStart w:id="386" w:name="_Toc28145"/>
      <w:bookmarkStart w:id="387" w:name="_Toc15281"/>
      <w:bookmarkStart w:id="388" w:name="_Toc15237"/>
      <w:bookmarkStart w:id="389" w:name="_Toc28315"/>
      <w:bookmarkStart w:id="390" w:name="_Toc9488"/>
      <w:bookmarkStart w:id="391" w:name="_Toc6942"/>
      <w:bookmarkStart w:id="392" w:name="_Toc2557"/>
      <w:bookmarkStart w:id="393" w:name="_Toc15604"/>
      <w:bookmarkStart w:id="394" w:name="_Toc31629"/>
      <w:bookmarkStart w:id="395" w:name="_Toc28823"/>
      <w:bookmarkStart w:id="396" w:name="_Toc22128"/>
      <w:bookmarkStart w:id="397" w:name="_Toc13735"/>
      <w:bookmarkStart w:id="398" w:name="_Toc26010"/>
      <w:bookmarkStart w:id="399" w:name="_Toc19382"/>
      <w:bookmarkStart w:id="400" w:name="_Toc27579"/>
      <w:bookmarkStart w:id="401" w:name="_Toc16381"/>
      <w:bookmarkStart w:id="402" w:name="_Toc15839"/>
      <w:bookmarkStart w:id="403" w:name="_Toc8644"/>
      <w:bookmarkStart w:id="404" w:name="_Toc25402"/>
      <w:bookmarkStart w:id="405" w:name="_Toc29140"/>
      <w:bookmarkStart w:id="406" w:name="_Toc14671"/>
      <w:bookmarkStart w:id="407" w:name="_Toc11523"/>
      <w:bookmarkStart w:id="408" w:name="_Toc23856"/>
      <w:bookmarkStart w:id="409" w:name="_Toc29977"/>
      <w:bookmarkStart w:id="410" w:name="_Toc31558"/>
      <w:bookmarkStart w:id="411" w:name="_Toc9220"/>
      <w:bookmarkStart w:id="412" w:name="_Toc7120"/>
      <w:bookmarkStart w:id="413" w:name="_Toc13730"/>
      <w:bookmarkStart w:id="414" w:name="_Toc29703"/>
      <w:bookmarkStart w:id="415" w:name="_Toc23806"/>
      <w:bookmarkStart w:id="416" w:name="_Toc1516"/>
      <w:bookmarkStart w:id="417" w:name="_Toc29239"/>
      <w:bookmarkStart w:id="418" w:name="_Toc27125"/>
      <w:bookmarkStart w:id="419" w:name="_Toc31789"/>
      <w:bookmarkStart w:id="420" w:name="_Toc26784"/>
      <w:bookmarkStart w:id="421" w:name="_Toc5129"/>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textAlignment w:val="auto"/>
        <w:rPr>
          <w:highlight w:val="none"/>
        </w:rPr>
      </w:pPr>
      <w:r>
        <w:rPr>
          <w:rFonts w:hint="eastAsia"/>
          <w:highlight w:val="none"/>
        </w:rPr>
        <w:t>第一章  总  则</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textAlignment w:val="auto"/>
        <w:rPr>
          <w:rFonts w:hint="eastAsia" w:ascii="楷体_GB2312" w:hAnsi="楷体_GB2312" w:eastAsia="楷体_GB2312" w:cs="楷体_GB2312"/>
          <w:b/>
          <w:highlight w:val="none"/>
        </w:rPr>
      </w:pPr>
    </w:p>
    <w:p>
      <w:pPr>
        <w:keepNext w:val="0"/>
        <w:keepLines w:val="0"/>
        <w:pageBreakBefore w:val="0"/>
        <w:widowControl w:val="0"/>
        <w:wordWrap/>
        <w:topLinePunct w:val="0"/>
        <w:bidi w:val="0"/>
        <w:spacing w:beforeAutospacing="0" w:afterAutospacing="0" w:line="560" w:lineRule="exact"/>
        <w:ind w:left="0" w:leftChars="0" w:firstLine="643"/>
        <w:rPr>
          <w:highlight w:val="none"/>
        </w:rPr>
      </w:pPr>
      <w:r>
        <w:rPr>
          <w:rFonts w:hint="eastAsia" w:ascii="楷体_GB2312" w:hAnsi="楷体_GB2312" w:eastAsia="楷体_GB2312" w:cs="楷体_GB2312"/>
          <w:b/>
          <w:highlight w:val="none"/>
        </w:rPr>
        <w:t>第一条</w:t>
      </w:r>
      <w:r>
        <w:rPr>
          <w:rFonts w:hint="eastAsia"/>
          <w:highlight w:val="none"/>
        </w:rPr>
        <w:t xml:space="preserve">  为促进我区经济发展方式转变，推动产业结构优化升级，抢抓粤港澳大湾区和深圳先行示范区“双区”建设机遇，实现南山建成世界级创新型滨海中心城区的目标，同时规范南山区自主创新产业发展专项资金经济发展分项资金的使用和管理，根据《南山区自主创新产业发展专项资金管理办法》和全区经济工作部署，制定本措施。</w:t>
      </w:r>
    </w:p>
    <w:p>
      <w:pPr>
        <w:keepNext w:val="0"/>
        <w:keepLines w:val="0"/>
        <w:pageBreakBefore w:val="0"/>
        <w:widowControl w:val="0"/>
        <w:wordWrap/>
        <w:topLinePunct w:val="0"/>
        <w:bidi w:val="0"/>
        <w:spacing w:beforeAutospacing="0" w:afterAutospacing="0" w:line="560" w:lineRule="exact"/>
        <w:ind w:left="0" w:leftChars="0" w:firstLine="643"/>
        <w:rPr>
          <w:highlight w:val="none"/>
        </w:rPr>
      </w:pPr>
      <w:r>
        <w:rPr>
          <w:rFonts w:hint="eastAsia" w:ascii="楷体_GB2312" w:hAnsi="楷体_GB2312" w:eastAsia="楷体_GB2312" w:cs="楷体_GB2312"/>
          <w:b/>
          <w:highlight w:val="none"/>
        </w:rPr>
        <w:t>第二条</w:t>
      </w:r>
      <w:r>
        <w:rPr>
          <w:rFonts w:hint="eastAsia"/>
          <w:highlight w:val="none"/>
        </w:rPr>
        <w:t xml:space="preserve">  各部分资金量在资金总量控制范围内可适当调整。</w:t>
      </w:r>
    </w:p>
    <w:p>
      <w:pPr>
        <w:keepNext w:val="0"/>
        <w:keepLines w:val="0"/>
        <w:pageBreakBefore w:val="0"/>
        <w:widowControl w:val="0"/>
        <w:wordWrap/>
        <w:topLinePunct w:val="0"/>
        <w:bidi w:val="0"/>
        <w:spacing w:beforeAutospacing="0" w:afterAutospacing="0" w:line="560" w:lineRule="exact"/>
        <w:ind w:left="0" w:leftChars="0" w:firstLine="643"/>
        <w:rPr>
          <w:highlight w:val="none"/>
        </w:rPr>
      </w:pPr>
      <w:r>
        <w:rPr>
          <w:rFonts w:hint="eastAsia" w:ascii="楷体_GB2312" w:hAnsi="楷体_GB2312" w:eastAsia="楷体_GB2312" w:cs="楷体_GB2312"/>
          <w:b/>
          <w:highlight w:val="none"/>
        </w:rPr>
        <w:t>第三条</w:t>
      </w:r>
      <w:r>
        <w:rPr>
          <w:rFonts w:hint="eastAsia"/>
          <w:highlight w:val="none"/>
        </w:rPr>
        <w:t xml:space="preserve">  区工业和信息化局为本措施的主管部门，区自主创新产业发展专项资金领导小组、经济发展分项资金审批专责小组为本措施的决策审批机构。</w:t>
      </w:r>
    </w:p>
    <w:p>
      <w:pPr>
        <w:keepNext w:val="0"/>
        <w:keepLines w:val="0"/>
        <w:pageBreakBefore w:val="0"/>
        <w:widowControl w:val="0"/>
        <w:wordWrap/>
        <w:topLinePunct w:val="0"/>
        <w:bidi w:val="0"/>
        <w:spacing w:beforeAutospacing="0" w:afterAutospacing="0" w:line="560" w:lineRule="exact"/>
        <w:ind w:left="0" w:leftChars="0" w:firstLine="643"/>
        <w:rPr>
          <w:highlight w:val="none"/>
        </w:rPr>
      </w:pPr>
      <w:r>
        <w:rPr>
          <w:rFonts w:hint="eastAsia" w:ascii="楷体_GB2312" w:hAnsi="楷体_GB2312" w:eastAsia="楷体_GB2312" w:cs="楷体_GB2312"/>
          <w:b/>
          <w:highlight w:val="none"/>
        </w:rPr>
        <w:t>第四条</w:t>
      </w:r>
      <w:r>
        <w:rPr>
          <w:rFonts w:hint="eastAsia"/>
          <w:highlight w:val="none"/>
        </w:rPr>
        <w:t xml:space="preserve">  本措施</w:t>
      </w:r>
      <w:r>
        <w:rPr>
          <w:highlight w:val="none"/>
        </w:rPr>
        <w:t>申报主体原则上应符合《南山区自主创新产业发展专项资金管理办法》规定的</w:t>
      </w:r>
      <w:r>
        <w:rPr>
          <w:rFonts w:hint="eastAsia"/>
          <w:highlight w:val="none"/>
          <w:lang w:eastAsia="zh-CN"/>
        </w:rPr>
        <w:t>“</w:t>
      </w:r>
      <w:r>
        <w:rPr>
          <w:rFonts w:hint="eastAsia"/>
          <w:highlight w:val="none"/>
        </w:rPr>
        <w:t>独立法人</w:t>
      </w:r>
      <w:r>
        <w:rPr>
          <w:rFonts w:hint="eastAsia"/>
          <w:highlight w:val="none"/>
          <w:lang w:eastAsia="zh-CN"/>
        </w:rPr>
        <w:t>”“</w:t>
      </w:r>
      <w:r>
        <w:rPr>
          <w:rFonts w:hint="eastAsia"/>
          <w:highlight w:val="none"/>
        </w:rPr>
        <w:t>注册地</w:t>
      </w:r>
      <w:r>
        <w:rPr>
          <w:rFonts w:hint="eastAsia"/>
          <w:highlight w:val="none"/>
          <w:lang w:eastAsia="zh-CN"/>
        </w:rPr>
        <w:t>”“区级</w:t>
      </w:r>
      <w:r>
        <w:rPr>
          <w:rFonts w:hint="eastAsia"/>
          <w:highlight w:val="none"/>
          <w:lang w:val="en-US" w:eastAsia="zh-CN"/>
        </w:rPr>
        <w:t>地方财力贡献</w:t>
      </w:r>
      <w:r>
        <w:rPr>
          <w:rFonts w:hint="eastAsia"/>
          <w:highlight w:val="none"/>
          <w:lang w:eastAsia="zh-CN"/>
        </w:rPr>
        <w:t>”“每家单位单个扶持项目资助金额原则不得超过</w:t>
      </w:r>
      <w:r>
        <w:rPr>
          <w:rFonts w:hint="eastAsia"/>
          <w:highlight w:val="none"/>
          <w:lang w:val="en-US" w:eastAsia="zh-CN"/>
        </w:rPr>
        <w:t>1000万元</w:t>
      </w:r>
      <w:r>
        <w:rPr>
          <w:rFonts w:hint="eastAsia"/>
          <w:highlight w:val="none"/>
          <w:lang w:eastAsia="zh-CN"/>
        </w:rPr>
        <w:t>”</w:t>
      </w:r>
      <w:r>
        <w:rPr>
          <w:rFonts w:hint="eastAsia"/>
          <w:highlight w:val="none"/>
        </w:rPr>
        <w:t>等相关条件</w:t>
      </w:r>
      <w:r>
        <w:rPr>
          <w:highlight w:val="none"/>
        </w:rPr>
        <w:t>，以下情形除外：</w:t>
      </w:r>
    </w:p>
    <w:p>
      <w:pPr>
        <w:keepNext w:val="0"/>
        <w:keepLines w:val="0"/>
        <w:pageBreakBefore w:val="0"/>
        <w:widowControl w:val="0"/>
        <w:wordWrap/>
        <w:topLinePunct w:val="0"/>
        <w:bidi w:val="0"/>
        <w:spacing w:beforeAutospacing="0" w:afterAutospacing="0" w:line="560" w:lineRule="exact"/>
        <w:ind w:left="0" w:leftChars="0" w:firstLine="640"/>
        <w:rPr>
          <w:highlight w:val="none"/>
        </w:rPr>
      </w:pPr>
      <w:r>
        <w:rPr>
          <w:highlight w:val="none"/>
        </w:rPr>
        <w:t>（一）《国家统计局关于印发统计单位划分及具体处理办法的通知》（国统字〔</w:t>
      </w:r>
      <w:r>
        <w:rPr>
          <w:rFonts w:hint="eastAsia" w:ascii="仿宋_GB2312" w:hAnsi="仿宋_GB2312" w:cs="仿宋_GB2312"/>
          <w:highlight w:val="none"/>
        </w:rPr>
        <w:t>2011</w:t>
      </w:r>
      <w:r>
        <w:rPr>
          <w:highlight w:val="none"/>
        </w:rPr>
        <w:t>〕</w:t>
      </w:r>
      <w:r>
        <w:rPr>
          <w:rFonts w:hint="eastAsia" w:ascii="仿宋_GB2312" w:hAnsi="仿宋_GB2312" w:cs="仿宋_GB2312"/>
          <w:highlight w:val="none"/>
        </w:rPr>
        <w:t>96</w:t>
      </w:r>
      <w:r>
        <w:rPr>
          <w:highlight w:val="none"/>
        </w:rPr>
        <w:t>号）</w:t>
      </w:r>
      <w:r>
        <w:rPr>
          <w:rFonts w:hint="eastAsia"/>
          <w:highlight w:val="none"/>
        </w:rPr>
        <w:t>第十三条第（四）款所列的“垂直管理单位的跨地区分支机构”可视同法人单位处理，其申请</w:t>
      </w:r>
      <w:r>
        <w:rPr>
          <w:rFonts w:hint="eastAsia"/>
          <w:highlight w:val="none"/>
          <w:lang w:eastAsia="zh-CN"/>
        </w:rPr>
        <w:t>本措施政策</w:t>
      </w:r>
      <w:r>
        <w:rPr>
          <w:rFonts w:hint="eastAsia"/>
          <w:highlight w:val="none"/>
        </w:rPr>
        <w:t>可不受</w:t>
      </w:r>
      <w:r>
        <w:rPr>
          <w:rFonts w:hint="eastAsia"/>
          <w:highlight w:val="none"/>
          <w:lang w:eastAsia="zh-CN"/>
        </w:rPr>
        <w:t>“</w:t>
      </w:r>
      <w:r>
        <w:rPr>
          <w:rFonts w:hint="eastAsia"/>
          <w:highlight w:val="none"/>
        </w:rPr>
        <w:t>独立法人</w:t>
      </w:r>
      <w:r>
        <w:rPr>
          <w:rFonts w:hint="eastAsia"/>
          <w:highlight w:val="none"/>
          <w:lang w:eastAsia="zh-CN"/>
        </w:rPr>
        <w:t>”</w:t>
      </w:r>
      <w:r>
        <w:rPr>
          <w:rFonts w:hint="eastAsia"/>
          <w:highlight w:val="none"/>
        </w:rPr>
        <w:t>资格条件限制。</w:t>
      </w:r>
    </w:p>
    <w:p>
      <w:pPr>
        <w:keepNext w:val="0"/>
        <w:keepLines w:val="0"/>
        <w:pageBreakBefore w:val="0"/>
        <w:widowControl w:val="0"/>
        <w:wordWrap/>
        <w:topLinePunct w:val="0"/>
        <w:bidi w:val="0"/>
        <w:spacing w:beforeAutospacing="0" w:afterAutospacing="0" w:line="560" w:lineRule="exact"/>
        <w:ind w:left="0" w:leftChars="0" w:firstLine="640"/>
        <w:rPr>
          <w:highlight w:val="none"/>
        </w:rPr>
      </w:pPr>
      <w:r>
        <w:rPr>
          <w:highlight w:val="none"/>
        </w:rPr>
        <w:t>（二）申请支持企业绿色</w:t>
      </w:r>
      <w:r>
        <w:rPr>
          <w:rFonts w:hint="eastAsia"/>
          <w:highlight w:val="none"/>
        </w:rPr>
        <w:t>低碳</w:t>
      </w:r>
      <w:r>
        <w:rPr>
          <w:highlight w:val="none"/>
        </w:rPr>
        <w:t>发展</w:t>
      </w:r>
      <w:r>
        <w:rPr>
          <w:rFonts w:hint="eastAsia"/>
          <w:highlight w:val="none"/>
        </w:rPr>
        <w:t>-自愿性</w:t>
      </w:r>
      <w:r>
        <w:rPr>
          <w:highlight w:val="none"/>
        </w:rPr>
        <w:t>清洁生产奖励</w:t>
      </w:r>
      <w:r>
        <w:rPr>
          <w:rFonts w:hint="eastAsia"/>
          <w:highlight w:val="none"/>
          <w:lang w:eastAsia="zh-CN"/>
        </w:rPr>
        <w:t>、</w:t>
      </w:r>
      <w:r>
        <w:rPr>
          <w:rFonts w:hint="eastAsia" w:hAnsi="Arial" w:cstheme="minorBidi"/>
          <w:szCs w:val="24"/>
          <w:highlight w:val="none"/>
          <w:lang w:val="en-US" w:eastAsia="zh-CN"/>
        </w:rPr>
        <w:t>支持实施卓越绩效管理</w:t>
      </w:r>
      <w:r>
        <w:rPr>
          <w:highlight w:val="none"/>
        </w:rPr>
        <w:t>的</w:t>
      </w:r>
      <w:r>
        <w:rPr>
          <w:rFonts w:hint="eastAsia"/>
          <w:highlight w:val="none"/>
        </w:rPr>
        <w:t>企业</w:t>
      </w:r>
      <w:r>
        <w:rPr>
          <w:highlight w:val="none"/>
        </w:rPr>
        <w:t>可不受</w:t>
      </w:r>
      <w:r>
        <w:rPr>
          <w:rFonts w:hint="default" w:ascii="仿宋_GB2312" w:hAnsi="仿宋_GB2312" w:eastAsia="仿宋_GB2312" w:cs="仿宋_GB2312"/>
          <w:color w:val="auto"/>
          <w:sz w:val="32"/>
          <w:szCs w:val="40"/>
          <w:highlight w:val="none"/>
        </w:rPr>
        <w:t>《南山区自主创新产业发展专项资金管理办法》规定的</w:t>
      </w:r>
      <w:r>
        <w:rPr>
          <w:rFonts w:hint="eastAsia"/>
          <w:highlight w:val="none"/>
          <w:lang w:eastAsia="zh-CN"/>
        </w:rPr>
        <w:t>“</w:t>
      </w:r>
      <w:r>
        <w:rPr>
          <w:highlight w:val="none"/>
        </w:rPr>
        <w:t>独立法人</w:t>
      </w:r>
      <w:r>
        <w:rPr>
          <w:rFonts w:hint="eastAsia"/>
          <w:highlight w:val="none"/>
          <w:lang w:eastAsia="zh-CN"/>
        </w:rPr>
        <w:t>”</w:t>
      </w:r>
      <w:r>
        <w:rPr>
          <w:highlight w:val="none"/>
        </w:rPr>
        <w:t>资格条件限制。</w:t>
      </w:r>
    </w:p>
    <w:p>
      <w:pPr>
        <w:keepNext w:val="0"/>
        <w:keepLines w:val="0"/>
        <w:pageBreakBefore w:val="0"/>
        <w:widowControl w:val="0"/>
        <w:wordWrap/>
        <w:topLinePunct w:val="0"/>
        <w:bidi w:val="0"/>
        <w:spacing w:beforeAutospacing="0" w:afterAutospacing="0" w:line="560" w:lineRule="exact"/>
        <w:ind w:left="0" w:leftChars="0" w:firstLine="640"/>
        <w:rPr>
          <w:highlight w:val="none"/>
        </w:rPr>
      </w:pPr>
      <w:r>
        <w:rPr>
          <w:highlight w:val="none"/>
        </w:rPr>
        <w:t>（三）申请支持企业技术改造、</w:t>
      </w:r>
      <w:r>
        <w:rPr>
          <w:rFonts w:hint="eastAsia"/>
          <w:highlight w:val="none"/>
        </w:rPr>
        <w:t>支持工业企业保留核心生产制造、鼓励工业龙头企业发挥产业链带动作用、支持</w:t>
      </w:r>
      <w:r>
        <w:rPr>
          <w:rFonts w:hint="eastAsia"/>
          <w:highlight w:val="none"/>
          <w:lang w:eastAsia="zh-CN"/>
        </w:rPr>
        <w:t>工业</w:t>
      </w:r>
      <w:r>
        <w:rPr>
          <w:rFonts w:hint="eastAsia"/>
          <w:highlight w:val="none"/>
        </w:rPr>
        <w:t>企业数字化转型</w:t>
      </w:r>
      <w:r>
        <w:rPr>
          <w:rFonts w:hint="eastAsia"/>
          <w:highlight w:val="none"/>
          <w:lang w:eastAsia="zh-CN"/>
        </w:rPr>
        <w:t>、</w:t>
      </w:r>
      <w:r>
        <w:rPr>
          <w:rFonts w:hint="eastAsia"/>
          <w:highlight w:val="none"/>
        </w:rPr>
        <w:t>鼓励企业纳统入库、鼓励企业做大做强</w:t>
      </w:r>
      <w:r>
        <w:rPr>
          <w:highlight w:val="none"/>
        </w:rPr>
        <w:t>的企业可不受</w:t>
      </w:r>
      <w:r>
        <w:rPr>
          <w:rFonts w:hint="default" w:ascii="仿宋_GB2312" w:hAnsi="仿宋_GB2312" w:eastAsia="仿宋_GB2312" w:cs="仿宋_GB2312"/>
          <w:color w:val="auto"/>
          <w:sz w:val="32"/>
          <w:szCs w:val="40"/>
          <w:highlight w:val="none"/>
        </w:rPr>
        <w:t>《南山区自主创新产业发展专项资金管理办法》规定的</w:t>
      </w:r>
      <w:r>
        <w:rPr>
          <w:rFonts w:hint="eastAsia"/>
          <w:highlight w:val="none"/>
          <w:lang w:eastAsia="zh-CN"/>
        </w:rPr>
        <w:t>“</w:t>
      </w:r>
      <w:r>
        <w:rPr>
          <w:highlight w:val="none"/>
        </w:rPr>
        <w:t>注册地</w:t>
      </w:r>
      <w:r>
        <w:rPr>
          <w:rFonts w:hint="eastAsia"/>
          <w:highlight w:val="none"/>
          <w:lang w:eastAsia="zh-CN"/>
        </w:rPr>
        <w:t>”</w:t>
      </w:r>
      <w:r>
        <w:rPr>
          <w:highlight w:val="none"/>
        </w:rPr>
        <w:t>资格条件限制。</w:t>
      </w:r>
    </w:p>
    <w:p>
      <w:pPr>
        <w:keepNext w:val="0"/>
        <w:keepLines w:val="0"/>
        <w:pageBreakBefore w:val="0"/>
        <w:widowControl w:val="0"/>
        <w:wordWrap/>
        <w:topLinePunct w:val="0"/>
        <w:bidi w:val="0"/>
        <w:spacing w:beforeAutospacing="0" w:afterAutospacing="0" w:line="560" w:lineRule="exact"/>
        <w:ind w:left="0" w:leftChars="0" w:firstLine="640"/>
        <w:rPr>
          <w:highlight w:val="none"/>
        </w:rPr>
      </w:pPr>
      <w:r>
        <w:rPr>
          <w:rFonts w:hint="default"/>
          <w:highlight w:val="none"/>
          <w:lang w:eastAsia="zh-CN"/>
        </w:rPr>
        <w:t>（</w:t>
      </w:r>
      <w:r>
        <w:rPr>
          <w:rFonts w:hint="default"/>
          <w:highlight w:val="none"/>
          <w:lang w:val="en-US" w:eastAsia="zh-CN"/>
        </w:rPr>
        <w:t>四</w:t>
      </w:r>
      <w:r>
        <w:rPr>
          <w:rFonts w:hint="default"/>
          <w:highlight w:val="none"/>
          <w:lang w:eastAsia="zh-CN"/>
        </w:rPr>
        <w:t>）</w:t>
      </w:r>
      <w:r>
        <w:rPr>
          <w:rFonts w:hint="eastAsia"/>
          <w:highlight w:val="none"/>
        </w:rPr>
        <w:t>本措施</w:t>
      </w:r>
      <w:r>
        <w:rPr>
          <w:highlight w:val="none"/>
        </w:rPr>
        <w:t>申报主体</w:t>
      </w:r>
      <w:r>
        <w:rPr>
          <w:rFonts w:hint="default"/>
          <w:highlight w:val="none"/>
          <w:lang w:eastAsia="zh-CN"/>
        </w:rPr>
        <w:t>不受</w:t>
      </w:r>
      <w:r>
        <w:rPr>
          <w:highlight w:val="none"/>
        </w:rPr>
        <w:t>《南山区自主创新产业发展专项资金管理办法》规定的</w:t>
      </w:r>
      <w:r>
        <w:rPr>
          <w:rFonts w:hint="eastAsia"/>
          <w:highlight w:val="none"/>
        </w:rPr>
        <w:t>“区级地方财力贡献”限制。</w:t>
      </w:r>
    </w:p>
    <w:p>
      <w:pPr>
        <w:keepNext w:val="0"/>
        <w:keepLines w:val="0"/>
        <w:pageBreakBefore w:val="0"/>
        <w:widowControl w:val="0"/>
        <w:wordWrap/>
        <w:topLinePunct w:val="0"/>
        <w:bidi w:val="0"/>
        <w:spacing w:beforeAutospacing="0" w:afterAutospacing="0" w:line="560" w:lineRule="exact"/>
        <w:ind w:left="0" w:leftChars="0" w:firstLine="640"/>
        <w:rPr>
          <w:highlight w:val="none"/>
        </w:rPr>
      </w:pPr>
      <w:r>
        <w:rPr>
          <w:rFonts w:hint="default" w:eastAsia="仿宋_GB2312" w:asciiTheme="minorHAnsi" w:hAnsiTheme="minorHAnsi" w:cstheme="minorBidi"/>
          <w:b w:val="0"/>
          <w:bCs w:val="0"/>
          <w:highlight w:val="none"/>
          <w:lang w:eastAsia="zh-CN"/>
        </w:rPr>
        <w:t>（</w:t>
      </w:r>
      <w:r>
        <w:rPr>
          <w:rFonts w:hint="default" w:eastAsia="仿宋_GB2312" w:asciiTheme="minorHAnsi" w:hAnsiTheme="minorHAnsi" w:cstheme="minorBidi"/>
          <w:b w:val="0"/>
          <w:bCs w:val="0"/>
          <w:highlight w:val="none"/>
          <w:lang w:val="en-US" w:eastAsia="zh-CN"/>
        </w:rPr>
        <w:t>五</w:t>
      </w:r>
      <w:r>
        <w:rPr>
          <w:rFonts w:hint="default" w:eastAsia="仿宋_GB2312" w:asciiTheme="minorHAnsi" w:hAnsiTheme="minorHAnsi" w:cstheme="minorBidi"/>
          <w:b w:val="0"/>
          <w:bCs w:val="0"/>
          <w:highlight w:val="none"/>
          <w:lang w:eastAsia="zh-CN"/>
        </w:rPr>
        <w:t>）</w:t>
      </w:r>
      <w:r>
        <w:rPr>
          <w:rFonts w:hint="default" w:eastAsia="仿宋_GB2312" w:asciiTheme="minorHAnsi" w:hAnsiTheme="minorHAnsi" w:cstheme="minorBidi"/>
          <w:kern w:val="2"/>
          <w:sz w:val="32"/>
          <w:szCs w:val="24"/>
          <w:highlight w:val="none"/>
          <w:lang w:val="en-US" w:eastAsia="zh-CN" w:bidi="ar-SA"/>
        </w:rPr>
        <w:t>申请支持企业技术改造、鼓励企业做大做强的企业可不受《南山区自主创新产业发展专项资金管理办法》规定的</w:t>
      </w:r>
      <w:r>
        <w:rPr>
          <w:rFonts w:hint="eastAsia" w:cstheme="minorBidi"/>
          <w:kern w:val="2"/>
          <w:sz w:val="32"/>
          <w:szCs w:val="24"/>
          <w:highlight w:val="none"/>
          <w:lang w:val="en-US" w:eastAsia="zh-CN" w:bidi="ar-SA"/>
        </w:rPr>
        <w:t>“每家单位</w:t>
      </w:r>
      <w:r>
        <w:rPr>
          <w:rFonts w:hint="default" w:eastAsia="仿宋_GB2312" w:asciiTheme="minorHAnsi" w:hAnsiTheme="minorHAnsi" w:cstheme="minorBidi"/>
          <w:kern w:val="2"/>
          <w:sz w:val="32"/>
          <w:szCs w:val="24"/>
          <w:highlight w:val="none"/>
          <w:lang w:val="en-US" w:eastAsia="zh-CN" w:bidi="ar-SA"/>
        </w:rPr>
        <w:t>单个扶持项目资助金额原则上不得超过1000万元</w:t>
      </w:r>
      <w:r>
        <w:rPr>
          <w:rFonts w:hint="eastAsia" w:cstheme="minorBidi"/>
          <w:kern w:val="2"/>
          <w:sz w:val="32"/>
          <w:szCs w:val="24"/>
          <w:highlight w:val="none"/>
          <w:lang w:val="en-US" w:eastAsia="zh-CN" w:bidi="ar-SA"/>
        </w:rPr>
        <w:t>”</w:t>
      </w:r>
      <w:r>
        <w:rPr>
          <w:rFonts w:hint="eastAsia" w:eastAsia="仿宋_GB2312"/>
          <w:kern w:val="2"/>
          <w:highlight w:val="none"/>
          <w:lang w:eastAsia="zh-CN"/>
        </w:rPr>
        <w:t>总量控制</w:t>
      </w:r>
      <w:r>
        <w:rPr>
          <w:rFonts w:hint="default" w:eastAsia="仿宋_GB2312" w:asciiTheme="minorHAnsi" w:hAnsiTheme="minorHAnsi" w:cstheme="minorBidi"/>
          <w:kern w:val="2"/>
          <w:sz w:val="32"/>
          <w:szCs w:val="24"/>
          <w:highlight w:val="none"/>
          <w:lang w:val="en-US" w:eastAsia="zh-CN" w:bidi="ar-SA"/>
        </w:rPr>
        <w:t>限制。</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textAlignment w:val="auto"/>
        <w:rPr>
          <w:rFonts w:hint="eastAsia"/>
          <w:highlight w:val="none"/>
        </w:rPr>
      </w:pPr>
      <w:bookmarkStart w:id="422" w:name="_Toc18741"/>
      <w:bookmarkStart w:id="423" w:name="_Toc23280"/>
      <w:bookmarkStart w:id="424" w:name="_Toc10753"/>
      <w:bookmarkStart w:id="425" w:name="_Toc51"/>
      <w:bookmarkStart w:id="426" w:name="_Toc21536"/>
      <w:bookmarkStart w:id="427" w:name="_Toc32047"/>
      <w:bookmarkStart w:id="428" w:name="_Toc29853"/>
      <w:bookmarkStart w:id="429" w:name="_Toc26796"/>
      <w:bookmarkStart w:id="430" w:name="_Toc6117"/>
      <w:bookmarkStart w:id="431" w:name="_Toc24549"/>
      <w:bookmarkStart w:id="432" w:name="_Toc19853"/>
      <w:bookmarkStart w:id="433" w:name="_Toc12041"/>
      <w:bookmarkStart w:id="434" w:name="_Toc26529"/>
      <w:bookmarkStart w:id="435" w:name="_Toc4648"/>
      <w:bookmarkStart w:id="436" w:name="_Toc17737"/>
      <w:bookmarkStart w:id="437" w:name="_Toc5131"/>
      <w:bookmarkStart w:id="438" w:name="_Toc8898"/>
      <w:bookmarkStart w:id="439" w:name="_Toc14811"/>
      <w:bookmarkStart w:id="440" w:name="_Toc549"/>
      <w:bookmarkStart w:id="441" w:name="_Toc5117"/>
      <w:bookmarkStart w:id="442" w:name="_Toc12495"/>
      <w:bookmarkStart w:id="443" w:name="_Toc1987"/>
      <w:bookmarkStart w:id="444" w:name="_Toc7531"/>
      <w:bookmarkStart w:id="445" w:name="_Toc28197"/>
      <w:bookmarkStart w:id="446" w:name="_Toc25848"/>
      <w:bookmarkStart w:id="447" w:name="_Toc16787"/>
      <w:bookmarkStart w:id="448" w:name="_Toc5170"/>
      <w:bookmarkStart w:id="449" w:name="_Toc23858"/>
      <w:bookmarkStart w:id="450" w:name="_Toc22641"/>
      <w:bookmarkStart w:id="451" w:name="_Toc17428"/>
      <w:bookmarkStart w:id="452" w:name="_Toc20935"/>
      <w:bookmarkStart w:id="453" w:name="_Toc7763"/>
      <w:bookmarkStart w:id="454" w:name="_Toc14914"/>
      <w:bookmarkStart w:id="455" w:name="_Toc5175"/>
      <w:bookmarkStart w:id="456" w:name="_Toc31599"/>
      <w:bookmarkStart w:id="457" w:name="_Toc11079"/>
      <w:bookmarkStart w:id="458" w:name="_Toc4690"/>
      <w:bookmarkStart w:id="459" w:name="_Toc28072"/>
      <w:bookmarkStart w:id="460" w:name="_Toc32354"/>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textAlignment w:val="auto"/>
        <w:rPr>
          <w:highlight w:val="none"/>
        </w:rPr>
      </w:pPr>
      <w:r>
        <w:rPr>
          <w:rFonts w:hint="eastAsia"/>
          <w:highlight w:val="none"/>
        </w:rPr>
        <w:t>第二章  支持工业发展</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firstLine="643"/>
        <w:textAlignment w:val="auto"/>
        <w:rPr>
          <w:rFonts w:hint="eastAsia" w:ascii="楷体_GB2312" w:hAnsi="楷体_GB2312" w:cs="楷体_GB2312"/>
          <w:highlight w:val="none"/>
        </w:rPr>
      </w:pPr>
      <w:bookmarkStart w:id="461" w:name="_Toc7504"/>
      <w:bookmarkStart w:id="462" w:name="_Toc31845"/>
      <w:bookmarkStart w:id="463" w:name="_Toc3470"/>
      <w:bookmarkStart w:id="464" w:name="_Toc19163"/>
      <w:bookmarkStart w:id="465" w:name="_Toc29539"/>
      <w:bookmarkStart w:id="466" w:name="_Toc589"/>
      <w:bookmarkStart w:id="467" w:name="_Toc20248"/>
      <w:bookmarkStart w:id="468" w:name="_Toc12394"/>
      <w:bookmarkStart w:id="469" w:name="_Toc7122"/>
      <w:bookmarkStart w:id="470" w:name="_Toc28210"/>
      <w:bookmarkStart w:id="471" w:name="_Toc8034"/>
      <w:bookmarkStart w:id="472" w:name="_Toc9372"/>
      <w:bookmarkStart w:id="473" w:name="_Toc30170"/>
      <w:bookmarkStart w:id="474" w:name="_Toc19032"/>
      <w:bookmarkStart w:id="475" w:name="_Toc8534"/>
      <w:bookmarkStart w:id="476" w:name="_Toc17364"/>
      <w:bookmarkStart w:id="477" w:name="_Toc30309"/>
      <w:bookmarkStart w:id="478" w:name="_Toc7579"/>
      <w:bookmarkStart w:id="479" w:name="_Toc31150"/>
      <w:bookmarkStart w:id="480" w:name="_Toc11861"/>
      <w:bookmarkStart w:id="481" w:name="_Toc5064"/>
      <w:bookmarkStart w:id="482" w:name="_Toc25705"/>
      <w:bookmarkStart w:id="483" w:name="_Toc16073"/>
      <w:bookmarkStart w:id="484" w:name="_Toc18450"/>
      <w:bookmarkStart w:id="485" w:name="_Toc6373"/>
      <w:bookmarkStart w:id="486" w:name="_Toc4695"/>
      <w:bookmarkStart w:id="487" w:name="_Toc23276"/>
      <w:bookmarkStart w:id="488" w:name="_Toc29551"/>
      <w:bookmarkStart w:id="489" w:name="_Toc24885"/>
      <w:bookmarkStart w:id="490" w:name="_Toc4291"/>
      <w:bookmarkStart w:id="491" w:name="_Toc9210"/>
      <w:bookmarkStart w:id="492" w:name="_Toc6716"/>
      <w:bookmarkStart w:id="493" w:name="_Toc290"/>
      <w:bookmarkStart w:id="494" w:name="_Toc20457"/>
      <w:bookmarkStart w:id="495" w:name="_Toc31325"/>
      <w:bookmarkStart w:id="496" w:name="_Toc9925"/>
      <w:bookmarkStart w:id="497" w:name="_Toc9294"/>
      <w:bookmarkStart w:id="498" w:name="_Toc21778"/>
      <w:bookmarkStart w:id="499" w:name="_Toc32183"/>
      <w:bookmarkStart w:id="500" w:name="_Toc12550"/>
      <w:bookmarkStart w:id="501" w:name="_Toc3025"/>
      <w:bookmarkStart w:id="502" w:name="_Toc23530"/>
      <w:bookmarkStart w:id="503" w:name="_Toc18227"/>
      <w:bookmarkStart w:id="504" w:name="_Toc18491"/>
      <w:bookmarkStart w:id="505" w:name="_Toc23465"/>
      <w:bookmarkStart w:id="506" w:name="_Toc28900"/>
      <w:bookmarkStart w:id="507" w:name="_Toc20381"/>
      <w:bookmarkStart w:id="508" w:name="_Toc32621"/>
      <w:bookmarkStart w:id="509" w:name="_Toc26160"/>
      <w:bookmarkStart w:id="510" w:name="_Toc30898"/>
      <w:bookmarkStart w:id="511" w:name="_Toc27167"/>
      <w:bookmarkStart w:id="512" w:name="_Toc9100"/>
      <w:bookmarkStart w:id="513" w:name="_Toc8810"/>
      <w:bookmarkStart w:id="514" w:name="_Toc10313"/>
      <w:bookmarkStart w:id="515" w:name="_Toc7524"/>
      <w:bookmarkStart w:id="516" w:name="_Toc26366"/>
      <w:bookmarkStart w:id="517" w:name="_Toc26244"/>
      <w:bookmarkStart w:id="518" w:name="_Toc29360"/>
      <w:bookmarkStart w:id="519" w:name="_Toc15089"/>
      <w:bookmarkStart w:id="520" w:name="_Toc16468"/>
      <w:bookmarkStart w:id="521" w:name="_Toc23446"/>
      <w:bookmarkStart w:id="522" w:name="_Toc17542"/>
      <w:bookmarkStart w:id="523" w:name="_Toc29884"/>
      <w:bookmarkStart w:id="524" w:name="_Toc30120"/>
      <w:bookmarkStart w:id="525" w:name="_Toc4990"/>
      <w:bookmarkStart w:id="526" w:name="_Toc13915"/>
      <w:bookmarkStart w:id="527" w:name="_Toc12848"/>
      <w:bookmarkStart w:id="528" w:name="_Toc10200"/>
    </w:p>
    <w:p>
      <w:pPr>
        <w:pStyle w:val="3"/>
        <w:keepNext w:val="0"/>
        <w:keepLines w:val="0"/>
        <w:pageBreakBefore w:val="0"/>
        <w:widowControl w:val="0"/>
        <w:wordWrap/>
        <w:topLinePunct w:val="0"/>
        <w:bidi w:val="0"/>
        <w:spacing w:before="0" w:beforeLines="0" w:beforeAutospacing="0" w:after="0" w:afterLines="0" w:afterAutospacing="0" w:line="560" w:lineRule="exact"/>
        <w:ind w:left="0" w:leftChars="0" w:firstLine="643" w:firstLineChars="200"/>
        <w:rPr>
          <w:rFonts w:hint="eastAsia" w:ascii="楷体_GB2312" w:hAnsi="楷体_GB2312" w:eastAsia="楷体_GB2312" w:cs="楷体_GB2312"/>
          <w:b/>
          <w:bCs w:val="0"/>
          <w:kern w:val="2"/>
          <w:sz w:val="32"/>
          <w:szCs w:val="24"/>
          <w:highlight w:val="none"/>
          <w:lang w:val="en-US" w:eastAsia="zh-CN" w:bidi="ar-SA"/>
        </w:rPr>
      </w:pPr>
      <w:r>
        <w:rPr>
          <w:rFonts w:hint="eastAsia" w:ascii="楷体_GB2312" w:hAnsi="楷体_GB2312" w:eastAsia="楷体_GB2312" w:cs="楷体_GB2312"/>
          <w:b/>
          <w:bCs w:val="0"/>
          <w:kern w:val="2"/>
          <w:sz w:val="32"/>
          <w:szCs w:val="24"/>
          <w:highlight w:val="none"/>
          <w:lang w:val="en-US" w:eastAsia="zh-CN" w:bidi="ar-SA"/>
        </w:rPr>
        <w:t>第五条  支持企业技术改造</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keepNext w:val="0"/>
        <w:keepLines w:val="0"/>
        <w:pageBreakBefore w:val="0"/>
        <w:widowControl w:val="0"/>
        <w:wordWrap/>
        <w:topLinePunct w:val="0"/>
        <w:bidi w:val="0"/>
        <w:spacing w:beforeAutospacing="0" w:afterAutospacing="0" w:line="560" w:lineRule="exact"/>
        <w:ind w:left="0" w:leftChars="0" w:firstLine="640"/>
        <w:rPr>
          <w:highlight w:val="none"/>
        </w:rPr>
      </w:pPr>
      <w:r>
        <w:rPr>
          <w:rFonts w:ascii="仿宋_GB2312" w:hAnsi="仿宋_GB2312" w:cs="仿宋_GB2312"/>
          <w:highlight w:val="none"/>
        </w:rPr>
        <w:t>对技术改造投资纳入南山区统计的企业</w:t>
      </w:r>
      <w:r>
        <w:rPr>
          <w:rFonts w:hint="eastAsia" w:ascii="仿宋_GB2312" w:hAnsi="仿宋_GB2312" w:cs="仿宋_GB2312"/>
          <w:highlight w:val="none"/>
        </w:rPr>
        <w:t>、</w:t>
      </w:r>
      <w:r>
        <w:rPr>
          <w:rFonts w:ascii="仿宋_GB2312" w:hAnsi="仿宋_GB2312" w:cs="仿宋_GB2312"/>
          <w:highlight w:val="none"/>
        </w:rPr>
        <w:t>南山区规上工业企业（含市内跨区域分成企业）</w:t>
      </w:r>
      <w:r>
        <w:rPr>
          <w:rFonts w:hint="eastAsia" w:ascii="仿宋_GB2312" w:hAnsi="仿宋_GB2312" w:cs="仿宋_GB2312"/>
          <w:highlight w:val="none"/>
        </w:rPr>
        <w:t>，以及南山区规下工业样本企业</w:t>
      </w:r>
      <w:r>
        <w:rPr>
          <w:rFonts w:ascii="仿宋_GB2312" w:hAnsi="仿宋_GB2312" w:cs="仿宋_GB2312"/>
          <w:highlight w:val="none"/>
        </w:rPr>
        <w:t>，按照不超过经审计的在深圳市内实施的技术改造投资额的</w:t>
      </w:r>
      <w:r>
        <w:rPr>
          <w:rFonts w:hint="eastAsia" w:ascii="仿宋_GB2312" w:hAnsi="仿宋_GB2312" w:cs="仿宋_GB2312"/>
          <w:highlight w:val="none"/>
        </w:rPr>
        <w:t>30</w:t>
      </w:r>
      <w:r>
        <w:rPr>
          <w:rFonts w:ascii="仿宋_GB2312" w:hAnsi="仿宋_GB2312" w:cs="仿宋_GB2312"/>
          <w:highlight w:val="none"/>
        </w:rPr>
        <w:t>%给予资助，每家企业</w:t>
      </w:r>
      <w:r>
        <w:rPr>
          <w:rFonts w:hint="eastAsia" w:ascii="仿宋_GB2312" w:hAnsi="仿宋_GB2312" w:cs="仿宋_GB2312"/>
          <w:highlight w:val="none"/>
          <w:lang w:eastAsia="zh-CN"/>
        </w:rPr>
        <w:t>资助比例、</w:t>
      </w:r>
      <w:r>
        <w:rPr>
          <w:rFonts w:ascii="仿宋_GB2312" w:hAnsi="仿宋_GB2312" w:cs="仿宋_GB2312"/>
          <w:highlight w:val="none"/>
        </w:rPr>
        <w:t>每年资助</w:t>
      </w:r>
      <w:r>
        <w:rPr>
          <w:rFonts w:hint="eastAsia" w:ascii="仿宋_GB2312" w:hAnsi="仿宋_GB2312" w:cs="仿宋_GB2312"/>
          <w:highlight w:val="none"/>
        </w:rPr>
        <w:t>上限根据企业</w:t>
      </w:r>
      <w:r>
        <w:rPr>
          <w:rFonts w:ascii="仿宋_GB2312" w:hAnsi="仿宋_GB2312" w:cs="仿宋_GB2312"/>
          <w:highlight w:val="none"/>
        </w:rPr>
        <w:t>技改</w:t>
      </w:r>
      <w:r>
        <w:rPr>
          <w:rFonts w:hint="eastAsia" w:ascii="仿宋_GB2312" w:hAnsi="仿宋_GB2312" w:cs="仿宋_GB2312"/>
          <w:highlight w:val="none"/>
        </w:rPr>
        <w:t>纳统</w:t>
      </w:r>
      <w:r>
        <w:rPr>
          <w:rFonts w:ascii="仿宋_GB2312" w:hAnsi="仿宋_GB2312" w:cs="仿宋_GB2312"/>
          <w:highlight w:val="none"/>
        </w:rPr>
        <w:t>金额、增加值贡献、税收贡献</w:t>
      </w:r>
      <w:r>
        <w:rPr>
          <w:rFonts w:hint="eastAsia" w:ascii="仿宋_GB2312" w:hAnsi="仿宋_GB2312" w:cs="仿宋_GB2312"/>
          <w:highlight w:val="none"/>
        </w:rPr>
        <w:t>、智能制造能力成熟度</w:t>
      </w:r>
      <w:r>
        <w:rPr>
          <w:rFonts w:ascii="仿宋_GB2312" w:hAnsi="仿宋_GB2312" w:cs="仿宋_GB2312"/>
          <w:highlight w:val="none"/>
        </w:rPr>
        <w:t>等</w:t>
      </w:r>
      <w:r>
        <w:rPr>
          <w:rFonts w:hint="eastAsia" w:ascii="仿宋_GB2312" w:hAnsi="仿宋_GB2312" w:cs="仿宋_GB2312"/>
          <w:highlight w:val="none"/>
        </w:rPr>
        <w:t>指标</w:t>
      </w:r>
      <w:r>
        <w:rPr>
          <w:rFonts w:ascii="仿宋_GB2312" w:hAnsi="仿宋_GB2312" w:cs="仿宋_GB2312"/>
          <w:highlight w:val="none"/>
        </w:rPr>
        <w:t>综合评</w:t>
      </w:r>
      <w:r>
        <w:rPr>
          <w:rFonts w:hint="eastAsia" w:ascii="仿宋_GB2312" w:hAnsi="仿宋_GB2312" w:cs="仿宋_GB2312"/>
          <w:highlight w:val="none"/>
        </w:rPr>
        <w:t>分</w:t>
      </w:r>
      <w:r>
        <w:rPr>
          <w:rFonts w:ascii="仿宋_GB2312" w:hAnsi="仿宋_GB2312" w:cs="仿宋_GB2312"/>
          <w:highlight w:val="none"/>
        </w:rPr>
        <w:t>分档</w:t>
      </w:r>
      <w:r>
        <w:rPr>
          <w:rFonts w:hint="eastAsia" w:ascii="仿宋_GB2312" w:hAnsi="仿宋_GB2312" w:cs="仿宋_GB2312"/>
          <w:highlight w:val="none"/>
        </w:rPr>
        <w:t>确定，</w:t>
      </w:r>
      <w:r>
        <w:rPr>
          <w:rFonts w:ascii="仿宋_GB2312" w:hAnsi="仿宋_GB2312" w:cs="仿宋_GB2312"/>
          <w:highlight w:val="none"/>
        </w:rPr>
        <w:t>最高</w:t>
      </w:r>
      <w:r>
        <w:rPr>
          <w:rFonts w:hint="eastAsia" w:ascii="仿宋_GB2312" w:hAnsi="仿宋_GB2312" w:cs="仿宋_GB2312"/>
          <w:highlight w:val="none"/>
        </w:rPr>
        <w:t>2000</w:t>
      </w:r>
      <w:r>
        <w:rPr>
          <w:rFonts w:ascii="仿宋_GB2312" w:hAnsi="仿宋_GB2312" w:cs="仿宋_GB2312"/>
          <w:highlight w:val="none"/>
        </w:rPr>
        <w:t>万元。其中，上年度在南山区纳统技术改造投资超过</w:t>
      </w:r>
      <w:r>
        <w:rPr>
          <w:rFonts w:hint="eastAsia" w:ascii="仿宋_GB2312" w:hAnsi="仿宋_GB2312" w:cs="仿宋_GB2312"/>
          <w:highlight w:val="none"/>
        </w:rPr>
        <w:t>1</w:t>
      </w:r>
      <w:r>
        <w:rPr>
          <w:rFonts w:ascii="仿宋_GB2312" w:hAnsi="仿宋_GB2312" w:cs="仿宋_GB2312"/>
          <w:highlight w:val="none"/>
        </w:rPr>
        <w:t>亿元的，直接给予最高档次资助；获得专精特新“小巨人”企业、</w:t>
      </w:r>
      <w:r>
        <w:rPr>
          <w:rFonts w:hint="eastAsia" w:ascii="仿宋_GB2312" w:hAnsi="仿宋_GB2312" w:cs="仿宋_GB2312"/>
          <w:highlight w:val="none"/>
          <w:lang w:eastAsia="zh-CN"/>
        </w:rPr>
        <w:t>专精特新中小企业、</w:t>
      </w:r>
      <w:r>
        <w:rPr>
          <w:rFonts w:ascii="仿宋_GB2312" w:hAnsi="仿宋_GB2312" w:cs="仿宋_GB2312"/>
          <w:highlight w:val="none"/>
        </w:rPr>
        <w:t>制造业“单项冠军”示范企业、制造业“单项冠军”产品等称号的，在原有资助档次基础上提高一个档次予以资助。</w:t>
      </w:r>
    </w:p>
    <w:p>
      <w:pPr>
        <w:pStyle w:val="3"/>
        <w:keepNext w:val="0"/>
        <w:keepLines w:val="0"/>
        <w:pageBreakBefore w:val="0"/>
        <w:widowControl w:val="0"/>
        <w:wordWrap/>
        <w:topLinePunct w:val="0"/>
        <w:bidi w:val="0"/>
        <w:spacing w:before="0" w:beforeLines="0" w:beforeAutospacing="0" w:after="0" w:afterLines="0" w:afterAutospacing="0" w:line="560" w:lineRule="exact"/>
        <w:ind w:left="0" w:leftChars="0" w:firstLine="643" w:firstLineChars="200"/>
        <w:rPr>
          <w:rFonts w:hint="eastAsia" w:ascii="楷体_GB2312" w:hAnsi="楷体_GB2312" w:eastAsia="楷体_GB2312" w:cs="楷体_GB2312"/>
          <w:b/>
          <w:bCs w:val="0"/>
          <w:kern w:val="2"/>
          <w:sz w:val="32"/>
          <w:szCs w:val="24"/>
          <w:highlight w:val="none"/>
          <w:lang w:val="en-US" w:eastAsia="zh-CN" w:bidi="ar-SA"/>
        </w:rPr>
      </w:pPr>
      <w:bookmarkStart w:id="529" w:name="_Toc30601"/>
      <w:bookmarkStart w:id="530" w:name="_Toc27765"/>
      <w:bookmarkStart w:id="531" w:name="_Toc3109"/>
      <w:bookmarkStart w:id="532" w:name="_Toc832"/>
      <w:bookmarkStart w:id="533" w:name="_Toc3823"/>
      <w:bookmarkStart w:id="534" w:name="_Toc28378"/>
      <w:bookmarkStart w:id="535" w:name="_Toc29064"/>
      <w:bookmarkStart w:id="536" w:name="_Toc16229"/>
      <w:bookmarkStart w:id="537" w:name="_Toc10742"/>
      <w:bookmarkStart w:id="538" w:name="_Toc17257"/>
      <w:bookmarkStart w:id="539" w:name="_Toc13616"/>
      <w:bookmarkStart w:id="540" w:name="_Toc12371"/>
      <w:bookmarkStart w:id="541" w:name="_Toc11090"/>
      <w:bookmarkStart w:id="542" w:name="_Toc8629"/>
      <w:bookmarkStart w:id="543" w:name="_Toc2033"/>
      <w:bookmarkStart w:id="544" w:name="_Toc512"/>
      <w:bookmarkStart w:id="545" w:name="_Toc5530"/>
      <w:bookmarkStart w:id="546" w:name="_Toc7095"/>
      <w:bookmarkStart w:id="547" w:name="_Toc13971"/>
      <w:bookmarkStart w:id="548" w:name="_Toc8463"/>
      <w:bookmarkStart w:id="549" w:name="_Toc13695"/>
      <w:bookmarkStart w:id="550" w:name="_Toc931"/>
      <w:bookmarkStart w:id="551" w:name="_Toc9331"/>
      <w:bookmarkStart w:id="552" w:name="_Toc27642"/>
      <w:bookmarkStart w:id="553" w:name="_Toc30676"/>
      <w:bookmarkStart w:id="554" w:name="_Toc7960"/>
      <w:bookmarkStart w:id="555" w:name="_Toc29367"/>
      <w:bookmarkStart w:id="556" w:name="_Toc28349"/>
      <w:bookmarkStart w:id="557" w:name="_Toc31885"/>
      <w:bookmarkStart w:id="558" w:name="_Toc28"/>
      <w:bookmarkStart w:id="559" w:name="_Toc30715"/>
      <w:bookmarkStart w:id="560" w:name="_Toc20317"/>
      <w:bookmarkStart w:id="561" w:name="_Toc2807"/>
      <w:bookmarkStart w:id="562" w:name="_Toc17845"/>
      <w:bookmarkStart w:id="563" w:name="_Toc21922"/>
      <w:bookmarkStart w:id="564" w:name="_Toc634"/>
      <w:bookmarkStart w:id="565" w:name="_Toc10786"/>
      <w:bookmarkStart w:id="566" w:name="_Toc19732"/>
      <w:bookmarkStart w:id="567" w:name="_Toc12212"/>
      <w:bookmarkStart w:id="568" w:name="_Toc11379"/>
      <w:r>
        <w:rPr>
          <w:rFonts w:hint="eastAsia" w:ascii="楷体_GB2312" w:hAnsi="楷体_GB2312" w:eastAsia="楷体_GB2312" w:cs="楷体_GB2312"/>
          <w:b/>
          <w:bCs w:val="0"/>
          <w:kern w:val="2"/>
          <w:sz w:val="32"/>
          <w:szCs w:val="24"/>
          <w:highlight w:val="none"/>
          <w:lang w:val="en-US" w:eastAsia="zh-CN" w:bidi="ar-SA"/>
        </w:rPr>
        <w:t>第六条  支持工业企业保留核心生产制造</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keepNext w:val="0"/>
        <w:keepLines w:val="0"/>
        <w:pageBreakBefore w:val="0"/>
        <w:widowControl w:val="0"/>
        <w:wordWrap/>
        <w:topLinePunct w:val="0"/>
        <w:bidi w:val="0"/>
        <w:spacing w:beforeAutospacing="0" w:afterAutospacing="0" w:line="560" w:lineRule="exact"/>
        <w:ind w:left="0" w:leftChars="0" w:firstLine="640"/>
        <w:rPr>
          <w:highlight w:val="none"/>
        </w:rPr>
      </w:pPr>
      <w:bookmarkStart w:id="569" w:name="_Toc29417"/>
      <w:bookmarkStart w:id="570" w:name="_Toc5669"/>
      <w:bookmarkStart w:id="571" w:name="_Toc17390"/>
      <w:bookmarkStart w:id="572" w:name="_Toc14977"/>
      <w:bookmarkStart w:id="573" w:name="_Toc19998"/>
      <w:bookmarkStart w:id="574" w:name="_Toc28891"/>
      <w:bookmarkStart w:id="575" w:name="_Toc27744"/>
      <w:bookmarkStart w:id="576" w:name="_Toc29516"/>
      <w:bookmarkStart w:id="577" w:name="_Toc22599"/>
      <w:bookmarkStart w:id="578" w:name="_Toc24657"/>
      <w:bookmarkStart w:id="579" w:name="_Toc9620"/>
      <w:bookmarkStart w:id="580" w:name="_Toc26011"/>
      <w:bookmarkStart w:id="581" w:name="_Toc24319"/>
      <w:bookmarkStart w:id="582" w:name="_Toc23843"/>
      <w:bookmarkStart w:id="583" w:name="_Toc5331"/>
      <w:bookmarkStart w:id="584" w:name="_Toc5391"/>
      <w:bookmarkStart w:id="585" w:name="_Toc4659"/>
      <w:bookmarkStart w:id="586" w:name="_Toc3276"/>
      <w:bookmarkStart w:id="587" w:name="_Toc6134"/>
      <w:bookmarkStart w:id="588" w:name="_Toc31814"/>
      <w:bookmarkStart w:id="589" w:name="_Toc9583"/>
      <w:bookmarkStart w:id="590" w:name="_Toc27882"/>
      <w:r>
        <w:rPr>
          <w:highlight w:val="none"/>
        </w:rPr>
        <w:t>对在南山区设有生产线</w:t>
      </w:r>
      <w:r>
        <w:rPr>
          <w:rFonts w:hint="eastAsia"/>
          <w:highlight w:val="none"/>
        </w:rPr>
        <w:t>、</w:t>
      </w:r>
      <w:r>
        <w:rPr>
          <w:highlight w:val="none"/>
        </w:rPr>
        <w:t>上年度产值超过</w:t>
      </w:r>
      <w:r>
        <w:rPr>
          <w:rFonts w:hint="eastAsia" w:ascii="仿宋_GB2312" w:hAnsi="仿宋_GB2312" w:cs="仿宋_GB2312"/>
          <w:szCs w:val="32"/>
          <w:highlight w:val="none"/>
        </w:rPr>
        <w:t>1</w:t>
      </w:r>
      <w:r>
        <w:rPr>
          <w:highlight w:val="none"/>
        </w:rPr>
        <w:t>亿元（含市内跨区域分成企业，按分成后产值计算）</w:t>
      </w:r>
      <w:r>
        <w:rPr>
          <w:rFonts w:hint="eastAsia"/>
          <w:highlight w:val="none"/>
        </w:rPr>
        <w:t>、</w:t>
      </w:r>
      <w:r>
        <w:rPr>
          <w:highlight w:val="none"/>
        </w:rPr>
        <w:t>上年度产值正增长或</w:t>
      </w:r>
      <w:r>
        <w:rPr>
          <w:rFonts w:hint="eastAsia"/>
          <w:highlight w:val="none"/>
        </w:rPr>
        <w:t>本年度截至申报月上月的累计</w:t>
      </w:r>
      <w:r>
        <w:rPr>
          <w:highlight w:val="none"/>
        </w:rPr>
        <w:t>产值正增长的</w:t>
      </w:r>
      <w:r>
        <w:rPr>
          <w:rFonts w:hint="eastAsia"/>
          <w:highlight w:val="none"/>
        </w:rPr>
        <w:t>规上</w:t>
      </w:r>
      <w:r>
        <w:rPr>
          <w:highlight w:val="none"/>
        </w:rPr>
        <w:t>工业企业，</w:t>
      </w:r>
      <w:r>
        <w:rPr>
          <w:rFonts w:hint="eastAsia"/>
          <w:highlight w:val="none"/>
        </w:rPr>
        <w:t>以及在南山区设有生产线、上年度营收正增长的规下工业样本企业，对</w:t>
      </w:r>
      <w:r>
        <w:rPr>
          <w:highlight w:val="none"/>
        </w:rPr>
        <w:t>其在南山区租用</w:t>
      </w:r>
      <w:r>
        <w:rPr>
          <w:rFonts w:hint="eastAsia"/>
          <w:highlight w:val="none"/>
        </w:rPr>
        <w:t>的</w:t>
      </w:r>
      <w:r>
        <w:rPr>
          <w:highlight w:val="none"/>
        </w:rPr>
        <w:t>产业用房</w:t>
      </w:r>
      <w:r>
        <w:rPr>
          <w:rFonts w:hint="eastAsia"/>
          <w:highlight w:val="none"/>
        </w:rPr>
        <w:t>（不含南山区创新型产业用房），</w:t>
      </w:r>
      <w:r>
        <w:rPr>
          <w:highlight w:val="none"/>
        </w:rPr>
        <w:t>按不超过实际支付租金的</w:t>
      </w:r>
      <w:r>
        <w:rPr>
          <w:rFonts w:hint="eastAsia" w:ascii="仿宋_GB2312" w:hAnsi="仿宋_GB2312" w:cs="仿宋_GB2312"/>
          <w:szCs w:val="32"/>
          <w:highlight w:val="none"/>
        </w:rPr>
        <w:t>50</w:t>
      </w:r>
      <w:r>
        <w:rPr>
          <w:highlight w:val="none"/>
        </w:rPr>
        <w:t>%且不超过</w:t>
      </w:r>
      <w:r>
        <w:rPr>
          <w:rFonts w:hint="eastAsia" w:ascii="仿宋_GB2312" w:hAnsi="仿宋_GB2312" w:cs="仿宋_GB2312"/>
          <w:szCs w:val="32"/>
          <w:highlight w:val="none"/>
        </w:rPr>
        <w:t>50</w:t>
      </w:r>
      <w:r>
        <w:rPr>
          <w:highlight w:val="none"/>
        </w:rPr>
        <w:t>元/平方米·月的标准</w:t>
      </w:r>
      <w:r>
        <w:rPr>
          <w:rFonts w:hint="eastAsia"/>
          <w:highlight w:val="none"/>
        </w:rPr>
        <w:t>给予租金补贴。规下工业样本企业每年资助上限</w:t>
      </w:r>
      <w:r>
        <w:rPr>
          <w:rFonts w:hint="eastAsia" w:ascii="仿宋_GB2312" w:hAnsi="仿宋_GB2312" w:cs="仿宋_GB2312"/>
          <w:szCs w:val="32"/>
          <w:highlight w:val="none"/>
        </w:rPr>
        <w:t>50</w:t>
      </w:r>
      <w:r>
        <w:rPr>
          <w:rFonts w:hint="eastAsia"/>
          <w:highlight w:val="none"/>
        </w:rPr>
        <w:t>万元；规上工业企业根据其</w:t>
      </w:r>
      <w:r>
        <w:rPr>
          <w:highlight w:val="none"/>
        </w:rPr>
        <w:t>增加值规模分档</w:t>
      </w:r>
      <w:r>
        <w:rPr>
          <w:rFonts w:hint="eastAsia"/>
          <w:highlight w:val="none"/>
        </w:rPr>
        <w:t>设定年度资助上限</w:t>
      </w:r>
      <w:r>
        <w:rPr>
          <w:highlight w:val="none"/>
        </w:rPr>
        <w:t>，最高</w:t>
      </w:r>
      <w:r>
        <w:rPr>
          <w:rFonts w:hint="eastAsia" w:ascii="仿宋_GB2312" w:hAnsi="仿宋_GB2312" w:cs="仿宋_GB2312"/>
          <w:szCs w:val="32"/>
          <w:highlight w:val="none"/>
        </w:rPr>
        <w:t>1000</w:t>
      </w:r>
      <w:r>
        <w:rPr>
          <w:highlight w:val="none"/>
        </w:rPr>
        <w:t>万元。获得专精特新“小巨人”企业、</w:t>
      </w:r>
      <w:r>
        <w:rPr>
          <w:rFonts w:hint="eastAsia" w:ascii="仿宋_GB2312" w:hAnsi="仿宋_GB2312" w:cs="仿宋_GB2312"/>
          <w:highlight w:val="none"/>
          <w:lang w:eastAsia="zh-CN"/>
        </w:rPr>
        <w:t>专精特新中小企业、</w:t>
      </w:r>
      <w:r>
        <w:rPr>
          <w:highlight w:val="none"/>
        </w:rPr>
        <w:t>制造业“单项冠军”示范企业、制造业“单项冠军”产品等称号的</w:t>
      </w:r>
      <w:r>
        <w:rPr>
          <w:rFonts w:hint="eastAsia"/>
          <w:highlight w:val="none"/>
        </w:rPr>
        <w:t>规上工业企业</w:t>
      </w:r>
      <w:r>
        <w:rPr>
          <w:highlight w:val="none"/>
        </w:rPr>
        <w:t>，</w:t>
      </w:r>
      <w:r>
        <w:rPr>
          <w:rFonts w:hint="eastAsia"/>
          <w:highlight w:val="none"/>
        </w:rPr>
        <w:t>可不受产值规模要求限制，且在</w:t>
      </w:r>
      <w:r>
        <w:rPr>
          <w:highlight w:val="none"/>
        </w:rPr>
        <w:t>原有资助档次基础上提高一个档次予以资助。</w:t>
      </w:r>
    </w:p>
    <w:p>
      <w:pPr>
        <w:pStyle w:val="3"/>
        <w:keepNext w:val="0"/>
        <w:keepLines w:val="0"/>
        <w:pageBreakBefore w:val="0"/>
        <w:widowControl w:val="0"/>
        <w:wordWrap/>
        <w:topLinePunct w:val="0"/>
        <w:bidi w:val="0"/>
        <w:spacing w:before="0" w:beforeLines="0" w:beforeAutospacing="0" w:after="0" w:afterLines="0" w:afterAutospacing="0" w:line="560" w:lineRule="exact"/>
        <w:ind w:left="0" w:leftChars="0" w:firstLine="643" w:firstLineChars="200"/>
        <w:rPr>
          <w:rFonts w:hint="eastAsia" w:ascii="楷体_GB2312" w:hAnsi="楷体_GB2312" w:eastAsia="楷体_GB2312" w:cs="楷体_GB2312"/>
          <w:b/>
          <w:bCs w:val="0"/>
          <w:kern w:val="2"/>
          <w:sz w:val="32"/>
          <w:szCs w:val="24"/>
          <w:highlight w:val="none"/>
          <w:lang w:val="en-US" w:eastAsia="zh-CN" w:bidi="ar-SA"/>
        </w:rPr>
      </w:pPr>
      <w:bookmarkStart w:id="591" w:name="_Toc14075"/>
      <w:bookmarkStart w:id="592" w:name="_Toc19484"/>
      <w:bookmarkStart w:id="593" w:name="_Toc21607"/>
      <w:bookmarkStart w:id="594" w:name="_Toc11719"/>
      <w:bookmarkStart w:id="595" w:name="_Toc9185"/>
      <w:bookmarkStart w:id="596" w:name="_Toc32207"/>
      <w:bookmarkStart w:id="597" w:name="_Toc14548"/>
      <w:bookmarkStart w:id="598" w:name="_Toc4902"/>
      <w:bookmarkStart w:id="599" w:name="_Toc6433"/>
      <w:bookmarkStart w:id="600" w:name="_Toc10377"/>
      <w:bookmarkStart w:id="601" w:name="_Toc26667"/>
      <w:bookmarkStart w:id="602" w:name="_Toc31501"/>
      <w:bookmarkStart w:id="603" w:name="_Toc4492"/>
      <w:bookmarkStart w:id="604" w:name="_Toc29249"/>
      <w:bookmarkStart w:id="605" w:name="_Toc18175"/>
      <w:bookmarkStart w:id="606" w:name="_Toc8937"/>
      <w:bookmarkStart w:id="607" w:name="_Toc8422"/>
      <w:bookmarkStart w:id="608" w:name="_Toc16938"/>
      <w:r>
        <w:rPr>
          <w:rFonts w:hint="eastAsia" w:ascii="楷体_GB2312" w:hAnsi="楷体_GB2312" w:eastAsia="楷体_GB2312" w:cs="楷体_GB2312"/>
          <w:b/>
          <w:bCs w:val="0"/>
          <w:kern w:val="2"/>
          <w:sz w:val="32"/>
          <w:szCs w:val="24"/>
          <w:highlight w:val="none"/>
          <w:lang w:val="en-US" w:eastAsia="zh-CN" w:bidi="ar-SA"/>
        </w:rPr>
        <w:t>第七条  鼓励工业龙头企业发挥产业链带动作用</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keepNext w:val="0"/>
        <w:keepLines w:val="0"/>
        <w:pageBreakBefore w:val="0"/>
        <w:widowControl w:val="0"/>
        <w:wordWrap/>
        <w:topLinePunct w:val="0"/>
        <w:bidi w:val="0"/>
        <w:spacing w:beforeAutospacing="0" w:afterAutospacing="0" w:line="560" w:lineRule="exact"/>
        <w:ind w:left="0" w:leftChars="0" w:firstLine="640"/>
        <w:rPr>
          <w:highlight w:val="none"/>
        </w:rPr>
      </w:pPr>
      <w:bookmarkStart w:id="609" w:name="_Toc32447"/>
      <w:bookmarkStart w:id="610" w:name="_Toc3643"/>
      <w:bookmarkStart w:id="611" w:name="_Toc15571"/>
      <w:bookmarkStart w:id="612" w:name="_Toc18271"/>
      <w:bookmarkStart w:id="613" w:name="_Toc6602"/>
      <w:bookmarkStart w:id="614" w:name="_Toc24919"/>
      <w:bookmarkStart w:id="615" w:name="_Toc24122"/>
      <w:bookmarkStart w:id="616" w:name="_Toc14086"/>
      <w:bookmarkStart w:id="617" w:name="_Toc25297"/>
      <w:bookmarkStart w:id="618" w:name="_Toc29461"/>
      <w:bookmarkStart w:id="619" w:name="_Toc13615"/>
      <w:bookmarkStart w:id="620" w:name="_Toc20666"/>
      <w:bookmarkStart w:id="621" w:name="_Toc5291"/>
      <w:bookmarkStart w:id="622" w:name="_Toc14421"/>
      <w:bookmarkStart w:id="623" w:name="_Toc18642"/>
      <w:bookmarkStart w:id="624" w:name="_Toc3916"/>
      <w:bookmarkStart w:id="625" w:name="_Toc23855"/>
      <w:bookmarkStart w:id="626" w:name="_Toc27636"/>
      <w:bookmarkStart w:id="627" w:name="_Toc17625"/>
      <w:bookmarkStart w:id="628" w:name="_Toc11201"/>
      <w:bookmarkStart w:id="629" w:name="_Toc9511"/>
      <w:r>
        <w:rPr>
          <w:rFonts w:hint="eastAsia"/>
          <w:highlight w:val="none"/>
        </w:rPr>
        <w:t>鼓励辖区工业龙头企业带动产业链上游企业协同发展</w:t>
      </w:r>
      <w:r>
        <w:rPr>
          <w:highlight w:val="none"/>
        </w:rPr>
        <w:t>，对上年度产值</w:t>
      </w:r>
      <w:r>
        <w:rPr>
          <w:rFonts w:hint="eastAsia" w:ascii="仿宋_GB2312" w:hAnsi="仿宋_GB2312" w:cs="仿宋_GB2312"/>
          <w:szCs w:val="32"/>
          <w:highlight w:val="none"/>
        </w:rPr>
        <w:t>20</w:t>
      </w:r>
      <w:r>
        <w:rPr>
          <w:highlight w:val="none"/>
        </w:rPr>
        <w:t>亿元及以上的工业企业直接从</w:t>
      </w:r>
      <w:r>
        <w:rPr>
          <w:rFonts w:hint="eastAsia"/>
          <w:highlight w:val="none"/>
        </w:rPr>
        <w:t>辖区</w:t>
      </w:r>
      <w:r>
        <w:rPr>
          <w:highlight w:val="none"/>
        </w:rPr>
        <w:t>其他规上工业企业</w:t>
      </w:r>
      <w:r>
        <w:rPr>
          <w:rFonts w:hint="eastAsia"/>
          <w:highlight w:val="none"/>
        </w:rPr>
        <w:t>、规下工业样本企业</w:t>
      </w:r>
      <w:r>
        <w:rPr>
          <w:highlight w:val="none"/>
        </w:rPr>
        <w:t>采购原材料，</w:t>
      </w:r>
      <w:r>
        <w:rPr>
          <w:rFonts w:hint="eastAsia"/>
          <w:highlight w:val="none"/>
        </w:rPr>
        <w:t>或从辖区专精特新“小巨人”企业</w:t>
      </w:r>
      <w:r>
        <w:rPr>
          <w:rFonts w:hint="eastAsia"/>
          <w:highlight w:val="none"/>
          <w:lang w:eastAsia="zh-CN"/>
        </w:rPr>
        <w:t>、</w:t>
      </w:r>
      <w:r>
        <w:rPr>
          <w:rFonts w:hint="eastAsia" w:ascii="仿宋_GB2312" w:hAnsi="仿宋_GB2312" w:cs="仿宋_GB2312"/>
          <w:highlight w:val="none"/>
          <w:lang w:eastAsia="zh-CN"/>
        </w:rPr>
        <w:t>专精特新中小企业</w:t>
      </w:r>
      <w:r>
        <w:rPr>
          <w:rFonts w:hint="eastAsia" w:ascii="仿宋_GB2312"/>
          <w:highlight w:val="none"/>
        </w:rPr>
        <w:t>采购原材料或软件及信息技术服务，且</w:t>
      </w:r>
      <w:r>
        <w:rPr>
          <w:highlight w:val="none"/>
        </w:rPr>
        <w:t>购销双方均属于深圳市战略性新兴产业</w:t>
      </w:r>
      <w:r>
        <w:rPr>
          <w:rFonts w:hint="eastAsia"/>
          <w:highlight w:val="none"/>
        </w:rPr>
        <w:t>集群</w:t>
      </w:r>
      <w:r>
        <w:rPr>
          <w:highlight w:val="none"/>
        </w:rPr>
        <w:t>的</w:t>
      </w:r>
      <w:r>
        <w:rPr>
          <w:rFonts w:hint="eastAsia"/>
          <w:highlight w:val="none"/>
        </w:rPr>
        <w:t>（专精特新“小巨人”企业</w:t>
      </w:r>
      <w:r>
        <w:rPr>
          <w:rFonts w:hint="eastAsia"/>
          <w:highlight w:val="none"/>
          <w:lang w:eastAsia="zh-CN"/>
        </w:rPr>
        <w:t>、</w:t>
      </w:r>
      <w:r>
        <w:rPr>
          <w:rFonts w:hint="eastAsia" w:ascii="仿宋_GB2312" w:hAnsi="仿宋_GB2312" w:cs="仿宋_GB2312"/>
          <w:highlight w:val="none"/>
          <w:lang w:eastAsia="zh-CN"/>
        </w:rPr>
        <w:t>专精特新中小企业</w:t>
      </w:r>
      <w:r>
        <w:rPr>
          <w:rFonts w:hint="eastAsia"/>
          <w:highlight w:val="none"/>
        </w:rPr>
        <w:t>、规下工业样本企业不受战略性新兴产业条件限制）</w:t>
      </w:r>
      <w:r>
        <w:rPr>
          <w:highlight w:val="none"/>
        </w:rPr>
        <w:t>，按经审计的采购金额的一定比例给予采购方资助，每家企业每年资助额最高</w:t>
      </w:r>
      <w:r>
        <w:rPr>
          <w:rFonts w:hint="eastAsia" w:ascii="仿宋_GB2312" w:hAnsi="仿宋_GB2312" w:cs="仿宋_GB2312"/>
          <w:szCs w:val="32"/>
          <w:highlight w:val="none"/>
        </w:rPr>
        <w:t>1000</w:t>
      </w:r>
      <w:r>
        <w:rPr>
          <w:highlight w:val="none"/>
        </w:rPr>
        <w:t>万元。其中，企业首次申请本项目时，按经审计的上年度采购金额的</w:t>
      </w:r>
      <w:r>
        <w:rPr>
          <w:rFonts w:hint="eastAsia" w:ascii="仿宋_GB2312" w:hAnsi="仿宋_GB2312" w:cs="仿宋_GB2312"/>
          <w:szCs w:val="32"/>
          <w:highlight w:val="none"/>
        </w:rPr>
        <w:t>1</w:t>
      </w:r>
      <w:r>
        <w:rPr>
          <w:highlight w:val="none"/>
        </w:rPr>
        <w:t>%给予资助；企业第二次申请本项目起，按经审计的上年度采购金额较上次申请本项目时认定的“上年度采购金额”的增量部分的</w:t>
      </w:r>
      <w:r>
        <w:rPr>
          <w:rFonts w:hint="eastAsia" w:ascii="仿宋_GB2312" w:hAnsi="仿宋_GB2312" w:cs="仿宋_GB2312"/>
          <w:szCs w:val="32"/>
          <w:highlight w:val="none"/>
        </w:rPr>
        <w:t>1</w:t>
      </w:r>
      <w:r>
        <w:rPr>
          <w:highlight w:val="none"/>
        </w:rPr>
        <w:t>%给予资助。以上购销双方存在绝对控股关系的，</w:t>
      </w:r>
      <w:r>
        <w:rPr>
          <w:rFonts w:hint="eastAsia"/>
          <w:highlight w:val="none"/>
        </w:rPr>
        <w:t>不予资助</w:t>
      </w:r>
      <w:r>
        <w:rPr>
          <w:highlight w:val="none"/>
        </w:rPr>
        <w:t>。</w:t>
      </w:r>
    </w:p>
    <w:p>
      <w:pPr>
        <w:pStyle w:val="3"/>
        <w:keepNext w:val="0"/>
        <w:keepLines w:val="0"/>
        <w:pageBreakBefore w:val="0"/>
        <w:widowControl w:val="0"/>
        <w:wordWrap/>
        <w:topLinePunct w:val="0"/>
        <w:bidi w:val="0"/>
        <w:spacing w:before="0" w:beforeLines="0" w:beforeAutospacing="0" w:after="0" w:afterLines="0" w:afterAutospacing="0" w:line="560" w:lineRule="exact"/>
        <w:ind w:left="0" w:leftChars="0" w:firstLine="643" w:firstLineChars="200"/>
        <w:rPr>
          <w:rFonts w:hint="eastAsia" w:ascii="楷体_GB2312" w:hAnsi="楷体_GB2312" w:eastAsia="楷体_GB2312" w:cs="楷体_GB2312"/>
          <w:b/>
          <w:bCs w:val="0"/>
          <w:kern w:val="2"/>
          <w:sz w:val="32"/>
          <w:szCs w:val="24"/>
          <w:highlight w:val="none"/>
          <w:lang w:val="en-US" w:eastAsia="zh-CN" w:bidi="ar-SA"/>
        </w:rPr>
      </w:pPr>
      <w:bookmarkStart w:id="630" w:name="_Toc25132"/>
      <w:bookmarkStart w:id="631" w:name="_Toc19062"/>
      <w:bookmarkStart w:id="632" w:name="_Toc15613"/>
      <w:bookmarkStart w:id="633" w:name="_Toc5826"/>
      <w:bookmarkStart w:id="634" w:name="_Toc24297"/>
      <w:bookmarkStart w:id="635" w:name="_Toc8669"/>
      <w:bookmarkStart w:id="636" w:name="_Toc3792"/>
      <w:bookmarkStart w:id="637" w:name="_Toc4658"/>
      <w:bookmarkStart w:id="638" w:name="_Toc5787"/>
      <w:bookmarkStart w:id="639" w:name="_Toc19147"/>
      <w:bookmarkStart w:id="640" w:name="_Toc24737"/>
      <w:bookmarkStart w:id="641" w:name="_Toc27347"/>
      <w:bookmarkStart w:id="642" w:name="_Toc10770"/>
      <w:bookmarkStart w:id="643" w:name="_Toc20781"/>
      <w:bookmarkStart w:id="644" w:name="_Toc4509"/>
      <w:bookmarkStart w:id="645" w:name="_Toc1684"/>
      <w:bookmarkStart w:id="646" w:name="_Toc10479"/>
      <w:bookmarkStart w:id="647" w:name="_Toc21777"/>
      <w:r>
        <w:rPr>
          <w:rFonts w:hint="eastAsia" w:ascii="楷体_GB2312" w:hAnsi="楷体_GB2312" w:eastAsia="楷体_GB2312" w:cs="楷体_GB2312"/>
          <w:b/>
          <w:bCs w:val="0"/>
          <w:kern w:val="2"/>
          <w:sz w:val="32"/>
          <w:szCs w:val="24"/>
          <w:highlight w:val="none"/>
          <w:lang w:val="en-US" w:eastAsia="zh-CN" w:bidi="ar-SA"/>
        </w:rPr>
        <w:t>第八条  支持企业绿色低碳发展</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keepNext w:val="0"/>
        <w:keepLines w:val="0"/>
        <w:pageBreakBefore w:val="0"/>
        <w:widowControl w:val="0"/>
        <w:wordWrap/>
        <w:topLinePunct w:val="0"/>
        <w:bidi w:val="0"/>
        <w:spacing w:beforeAutospacing="0" w:afterAutospacing="0" w:line="560" w:lineRule="exact"/>
        <w:ind w:left="0" w:leftChars="0" w:firstLine="640"/>
        <w:rPr>
          <w:highlight w:val="none"/>
        </w:rPr>
      </w:pPr>
      <w:bookmarkStart w:id="648" w:name="_Toc11342"/>
      <w:bookmarkStart w:id="649" w:name="_Toc23273"/>
      <w:bookmarkStart w:id="650" w:name="_Toc20893"/>
      <w:bookmarkStart w:id="651" w:name="_Toc3778"/>
      <w:bookmarkStart w:id="652" w:name="_Toc10454"/>
      <w:bookmarkStart w:id="653" w:name="_Toc23680"/>
      <w:bookmarkStart w:id="654" w:name="_Toc9826"/>
      <w:bookmarkStart w:id="655" w:name="_Toc14838"/>
      <w:bookmarkStart w:id="656" w:name="_Toc19343"/>
      <w:bookmarkStart w:id="657" w:name="_Toc27981"/>
      <w:bookmarkStart w:id="658" w:name="_Toc31893"/>
      <w:bookmarkStart w:id="659" w:name="_Toc2212"/>
      <w:r>
        <w:rPr>
          <w:highlight w:val="none"/>
        </w:rPr>
        <w:t>对纳入国家工信部门公布的绿色制造名单（绿色工厂、绿色园区、绿色供应链管理示范企业）的企业，给予</w:t>
      </w:r>
      <w:r>
        <w:rPr>
          <w:rFonts w:hint="eastAsia" w:ascii="仿宋_GB2312" w:hAnsi="仿宋_GB2312" w:cs="仿宋_GB2312"/>
          <w:highlight w:val="none"/>
        </w:rPr>
        <w:t>50</w:t>
      </w:r>
      <w:r>
        <w:rPr>
          <w:highlight w:val="none"/>
        </w:rPr>
        <w:t>万元的一次性奖励；对通过市级及以上自愿性清洁生产审核的企业，给予</w:t>
      </w:r>
      <w:r>
        <w:rPr>
          <w:rFonts w:hint="eastAsia" w:ascii="仿宋_GB2312" w:hAnsi="仿宋_GB2312" w:cs="仿宋_GB2312"/>
          <w:highlight w:val="none"/>
        </w:rPr>
        <w:t>15</w:t>
      </w:r>
      <w:r>
        <w:rPr>
          <w:highlight w:val="none"/>
        </w:rPr>
        <w:t>万元的一次性奖励。</w:t>
      </w:r>
    </w:p>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648"/>
    <w:bookmarkEnd w:id="649"/>
    <w:bookmarkEnd w:id="650"/>
    <w:bookmarkEnd w:id="651"/>
    <w:bookmarkEnd w:id="652"/>
    <w:bookmarkEnd w:id="653"/>
    <w:bookmarkEnd w:id="654"/>
    <w:bookmarkEnd w:id="655"/>
    <w:bookmarkEnd w:id="656"/>
    <w:bookmarkEnd w:id="657"/>
    <w:bookmarkEnd w:id="658"/>
    <w:bookmarkEnd w:id="659"/>
    <w:p>
      <w:pPr>
        <w:pStyle w:val="3"/>
        <w:keepNext w:val="0"/>
        <w:keepLines w:val="0"/>
        <w:pageBreakBefore w:val="0"/>
        <w:widowControl w:val="0"/>
        <w:wordWrap/>
        <w:topLinePunct w:val="0"/>
        <w:bidi w:val="0"/>
        <w:spacing w:before="0" w:beforeLines="0" w:beforeAutospacing="0" w:after="0" w:afterLines="0" w:afterAutospacing="0" w:line="560" w:lineRule="exact"/>
        <w:ind w:left="0" w:leftChars="0" w:firstLine="643" w:firstLineChars="200"/>
        <w:rPr>
          <w:rFonts w:hint="eastAsia" w:ascii="楷体_GB2312" w:hAnsi="楷体_GB2312" w:eastAsia="楷体_GB2312" w:cs="楷体_GB2312"/>
          <w:b/>
          <w:bCs w:val="0"/>
          <w:kern w:val="2"/>
          <w:sz w:val="32"/>
          <w:szCs w:val="24"/>
          <w:highlight w:val="none"/>
          <w:lang w:val="en-US" w:eastAsia="zh-CN" w:bidi="ar-SA"/>
        </w:rPr>
      </w:pPr>
      <w:bookmarkStart w:id="660" w:name="_Toc1745"/>
      <w:bookmarkStart w:id="661" w:name="_Toc29704"/>
      <w:bookmarkStart w:id="662" w:name="_Toc5028"/>
      <w:bookmarkStart w:id="663" w:name="_Toc14622"/>
      <w:bookmarkStart w:id="664" w:name="_Toc4612"/>
      <w:bookmarkStart w:id="665" w:name="_Toc8085"/>
      <w:bookmarkStart w:id="666" w:name="_Toc26457"/>
      <w:bookmarkStart w:id="667" w:name="_Toc10428"/>
      <w:bookmarkStart w:id="668" w:name="_Toc28387"/>
      <w:bookmarkStart w:id="669" w:name="_Toc9833"/>
      <w:bookmarkStart w:id="670" w:name="_Toc24744"/>
      <w:bookmarkStart w:id="671" w:name="_Toc305"/>
      <w:bookmarkStart w:id="672" w:name="_Toc23151"/>
      <w:bookmarkStart w:id="673" w:name="_Toc31240"/>
      <w:bookmarkStart w:id="674" w:name="_Toc29817"/>
      <w:bookmarkStart w:id="675" w:name="_Toc18114"/>
      <w:bookmarkStart w:id="676" w:name="_Toc16171"/>
      <w:bookmarkStart w:id="677" w:name="_Toc8934"/>
      <w:bookmarkStart w:id="678" w:name="_Toc29348"/>
      <w:bookmarkStart w:id="679" w:name="_Toc4481"/>
      <w:bookmarkStart w:id="680" w:name="_Toc23483"/>
      <w:bookmarkStart w:id="681" w:name="_Toc11834"/>
      <w:bookmarkStart w:id="682" w:name="_Toc3301"/>
      <w:bookmarkStart w:id="683" w:name="_Toc6478"/>
      <w:bookmarkStart w:id="684" w:name="_Toc5571"/>
      <w:bookmarkStart w:id="685" w:name="_Toc1006"/>
      <w:bookmarkStart w:id="686" w:name="_Toc12791"/>
      <w:bookmarkStart w:id="687" w:name="_Toc31135"/>
      <w:bookmarkStart w:id="688" w:name="_Toc4324"/>
      <w:bookmarkStart w:id="689" w:name="_Toc4051"/>
      <w:bookmarkStart w:id="690" w:name="_Toc23386"/>
      <w:bookmarkStart w:id="691" w:name="_Toc5448"/>
      <w:bookmarkStart w:id="692" w:name="_Toc19982"/>
      <w:bookmarkStart w:id="693" w:name="_Toc26684"/>
      <w:bookmarkStart w:id="694" w:name="_Toc5292"/>
      <w:bookmarkStart w:id="695" w:name="_Toc14494"/>
      <w:bookmarkStart w:id="696" w:name="_Toc20137"/>
      <w:bookmarkStart w:id="697" w:name="_Toc1411"/>
      <w:bookmarkStart w:id="698" w:name="_Toc26446"/>
      <w:bookmarkStart w:id="699" w:name="_Toc10913"/>
      <w:r>
        <w:rPr>
          <w:rFonts w:hint="eastAsia" w:ascii="楷体_GB2312" w:hAnsi="楷体_GB2312" w:eastAsia="楷体_GB2312" w:cs="楷体_GB2312"/>
          <w:b/>
          <w:bCs w:val="0"/>
          <w:kern w:val="2"/>
          <w:sz w:val="32"/>
          <w:szCs w:val="24"/>
          <w:highlight w:val="none"/>
          <w:lang w:val="en-US" w:eastAsia="zh-CN" w:bidi="ar-SA"/>
        </w:rPr>
        <w:t>第九条  支持工业企业数字化转型</w:t>
      </w:r>
    </w:p>
    <w:p>
      <w:pPr>
        <w:keepNext w:val="0"/>
        <w:keepLines w:val="0"/>
        <w:pageBreakBefore w:val="0"/>
        <w:widowControl w:val="0"/>
        <w:numPr>
          <w:ilvl w:val="255"/>
          <w:numId w:val="0"/>
        </w:numPr>
        <w:wordWrap/>
        <w:topLinePunct w:val="0"/>
        <w:bidi w:val="0"/>
        <w:spacing w:beforeAutospacing="0" w:afterAutospacing="0" w:line="560" w:lineRule="exact"/>
        <w:ind w:left="0" w:leftChars="0" w:firstLine="640" w:firstLineChars="200"/>
        <w:rPr>
          <w:highlight w:val="none"/>
        </w:rPr>
      </w:pPr>
      <w:r>
        <w:rPr>
          <w:rFonts w:hint="eastAsia"/>
          <w:highlight w:val="none"/>
        </w:rPr>
        <w:t>支持辖区工业企业与辖区云服务商、工业互联网服务商合作开展数字化转型。对上年度产值达到一定规模的工业企业，通过采购辖区重点供应商的云服务或工业互联网服务推进企业数字化转型的，按照不超过经审计的实际投入金额的30%，给予单个企业每年最高100万元资助。</w:t>
      </w:r>
      <w:r>
        <w:rPr>
          <w:highlight w:val="none"/>
        </w:rPr>
        <w:t>获得专精特新“小巨人”企业</w:t>
      </w:r>
      <w:r>
        <w:rPr>
          <w:rFonts w:hint="eastAsia"/>
          <w:highlight w:val="none"/>
          <w:lang w:eastAsia="zh-CN"/>
        </w:rPr>
        <w:t>、</w:t>
      </w:r>
      <w:r>
        <w:rPr>
          <w:highlight w:val="none"/>
        </w:rPr>
        <w:t>专精特新</w:t>
      </w:r>
      <w:r>
        <w:rPr>
          <w:rFonts w:hint="eastAsia"/>
          <w:highlight w:val="none"/>
        </w:rPr>
        <w:t>中小</w:t>
      </w:r>
      <w:r>
        <w:rPr>
          <w:highlight w:val="none"/>
        </w:rPr>
        <w:t>企业称号的，</w:t>
      </w:r>
      <w:r>
        <w:rPr>
          <w:rFonts w:hint="eastAsia"/>
          <w:highlight w:val="none"/>
        </w:rPr>
        <w:t>资助比例上限提高至50%，每年</w:t>
      </w:r>
      <w:r>
        <w:rPr>
          <w:rFonts w:hint="eastAsia"/>
          <w:highlight w:val="none"/>
          <w:lang w:eastAsia="zh-CN"/>
        </w:rPr>
        <w:t>资助上限提高至</w:t>
      </w:r>
      <w:r>
        <w:rPr>
          <w:rFonts w:hint="eastAsia"/>
          <w:highlight w:val="none"/>
        </w:rPr>
        <w:t>200万元</w:t>
      </w:r>
      <w:r>
        <w:rPr>
          <w:highlight w:val="none"/>
        </w:rPr>
        <w:t>。</w:t>
      </w:r>
      <w:r>
        <w:rPr>
          <w:rFonts w:hint="eastAsia"/>
          <w:highlight w:val="none"/>
        </w:rPr>
        <w:t>本条款执行资金总量控制。</w:t>
      </w:r>
    </w:p>
    <w:p>
      <w:pPr>
        <w:pStyle w:val="3"/>
        <w:keepNext w:val="0"/>
        <w:keepLines w:val="0"/>
        <w:pageBreakBefore w:val="0"/>
        <w:widowControl w:val="0"/>
        <w:wordWrap/>
        <w:topLinePunct w:val="0"/>
        <w:bidi w:val="0"/>
        <w:spacing w:before="0" w:beforeLines="0" w:beforeAutospacing="0" w:after="0" w:afterLines="0" w:afterAutospacing="0" w:line="560" w:lineRule="exact"/>
        <w:ind w:left="0" w:leftChars="0" w:firstLine="643" w:firstLineChars="200"/>
        <w:rPr>
          <w:rFonts w:hint="eastAsia" w:ascii="楷体_GB2312" w:hAnsi="楷体_GB2312" w:eastAsia="楷体_GB2312" w:cs="楷体_GB2312"/>
          <w:b/>
          <w:bCs w:val="0"/>
          <w:kern w:val="2"/>
          <w:sz w:val="32"/>
          <w:szCs w:val="24"/>
          <w:highlight w:val="none"/>
          <w:lang w:val="en-US" w:eastAsia="zh-CN" w:bidi="ar-SA"/>
        </w:rPr>
      </w:pPr>
      <w:r>
        <w:rPr>
          <w:rFonts w:hint="eastAsia" w:ascii="楷体_GB2312" w:hAnsi="楷体_GB2312" w:eastAsia="楷体_GB2312" w:cs="楷体_GB2312"/>
          <w:b/>
          <w:bCs w:val="0"/>
          <w:kern w:val="2"/>
          <w:sz w:val="32"/>
          <w:szCs w:val="24"/>
          <w:highlight w:val="none"/>
          <w:lang w:val="en-US" w:eastAsia="zh-CN" w:bidi="ar-SA"/>
        </w:rPr>
        <w:t>第十条  鼓励企业纳统入库</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keepNext w:val="0"/>
        <w:keepLines w:val="0"/>
        <w:pageBreakBefore w:val="0"/>
        <w:widowControl w:val="0"/>
        <w:wordWrap/>
        <w:topLinePunct w:val="0"/>
        <w:bidi w:val="0"/>
        <w:spacing w:beforeAutospacing="0" w:afterAutospacing="0" w:line="560" w:lineRule="exact"/>
        <w:ind w:left="0" w:leftChars="0" w:firstLine="640"/>
        <w:rPr>
          <w:highlight w:val="none"/>
        </w:rPr>
      </w:pPr>
      <w:bookmarkStart w:id="700" w:name="_Toc8410"/>
      <w:bookmarkStart w:id="701" w:name="_Toc8582"/>
      <w:bookmarkStart w:id="702" w:name="_Toc2239"/>
      <w:bookmarkStart w:id="703" w:name="_Toc21295"/>
      <w:bookmarkStart w:id="704" w:name="_Toc11859"/>
      <w:bookmarkStart w:id="705" w:name="_Toc9192"/>
      <w:bookmarkStart w:id="706" w:name="_Toc17742"/>
      <w:bookmarkStart w:id="707" w:name="_Toc26306"/>
      <w:bookmarkStart w:id="708" w:name="_Toc665"/>
      <w:bookmarkStart w:id="709" w:name="_Toc7721"/>
      <w:bookmarkStart w:id="710" w:name="_Toc16133"/>
      <w:bookmarkStart w:id="711" w:name="_Toc21374"/>
      <w:bookmarkStart w:id="712" w:name="_Toc6698"/>
      <w:bookmarkStart w:id="713" w:name="_Toc16411"/>
      <w:bookmarkStart w:id="714" w:name="_Toc8332"/>
      <w:bookmarkStart w:id="715" w:name="_Toc9095"/>
      <w:bookmarkStart w:id="716" w:name="_Toc5285"/>
      <w:bookmarkStart w:id="717" w:name="_Toc25951"/>
      <w:bookmarkStart w:id="718" w:name="_Toc7993"/>
      <w:bookmarkStart w:id="719" w:name="_Toc16921"/>
      <w:r>
        <w:rPr>
          <w:highlight w:val="none"/>
        </w:rPr>
        <w:t>对首次纳入区“</w:t>
      </w:r>
      <w:r>
        <w:rPr>
          <w:rFonts w:hint="eastAsia"/>
          <w:highlight w:val="none"/>
        </w:rPr>
        <w:t>规</w:t>
      </w:r>
      <w:r>
        <w:rPr>
          <w:highlight w:val="none"/>
        </w:rPr>
        <w:t>上工业”</w:t>
      </w:r>
      <w:r>
        <w:rPr>
          <w:rFonts w:hint="eastAsia"/>
          <w:highlight w:val="none"/>
        </w:rPr>
        <w:t>统计</w:t>
      </w:r>
      <w:r>
        <w:rPr>
          <w:highlight w:val="none"/>
        </w:rPr>
        <w:t>库的</w:t>
      </w:r>
      <w:r>
        <w:rPr>
          <w:rFonts w:hint="eastAsia"/>
          <w:highlight w:val="none"/>
        </w:rPr>
        <w:t>工业</w:t>
      </w:r>
      <w:r>
        <w:rPr>
          <w:highlight w:val="none"/>
        </w:rPr>
        <w:t>企业</w:t>
      </w:r>
      <w:r>
        <w:rPr>
          <w:rFonts w:hint="eastAsia"/>
          <w:highlight w:val="none"/>
        </w:rPr>
        <w:t>（含小升规、转库、区外迁入）</w:t>
      </w:r>
      <w:r>
        <w:rPr>
          <w:highlight w:val="none"/>
        </w:rPr>
        <w:t>，入库后</w:t>
      </w:r>
      <w:r>
        <w:rPr>
          <w:rFonts w:hint="eastAsia"/>
          <w:highlight w:val="none"/>
        </w:rPr>
        <w:t>稳定完成次年全年报表且实现</w:t>
      </w:r>
      <w:r>
        <w:rPr>
          <w:highlight w:val="none"/>
        </w:rPr>
        <w:t>产值正增长的，给予</w:t>
      </w:r>
      <w:r>
        <w:rPr>
          <w:rFonts w:hint="eastAsia" w:ascii="仿宋_GB2312" w:hAnsi="仿宋_GB2312" w:cs="仿宋_GB2312"/>
          <w:szCs w:val="32"/>
          <w:highlight w:val="none"/>
          <w:lang w:val="en-US" w:eastAsia="zh-CN"/>
        </w:rPr>
        <w:t>1</w:t>
      </w:r>
      <w:r>
        <w:rPr>
          <w:rFonts w:hint="eastAsia" w:ascii="仿宋_GB2312" w:hAnsi="仿宋_GB2312" w:cs="仿宋_GB2312"/>
          <w:szCs w:val="32"/>
          <w:highlight w:val="none"/>
        </w:rPr>
        <w:t>0</w:t>
      </w:r>
      <w:r>
        <w:rPr>
          <w:highlight w:val="none"/>
        </w:rPr>
        <w:t>万元奖励</w:t>
      </w:r>
      <w:r>
        <w:rPr>
          <w:rFonts w:hint="eastAsia"/>
          <w:highlight w:val="none"/>
          <w:lang w:eastAsia="zh-CN"/>
        </w:rPr>
        <w:t>。</w:t>
      </w:r>
    </w:p>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Pr>
        <w:pStyle w:val="3"/>
        <w:keepNext w:val="0"/>
        <w:keepLines w:val="0"/>
        <w:pageBreakBefore w:val="0"/>
        <w:widowControl w:val="0"/>
        <w:wordWrap/>
        <w:topLinePunct w:val="0"/>
        <w:bidi w:val="0"/>
        <w:spacing w:before="0" w:beforeLines="0" w:beforeAutospacing="0" w:after="0" w:afterLines="0" w:afterAutospacing="0" w:line="560" w:lineRule="exact"/>
        <w:ind w:left="0" w:leftChars="0" w:firstLine="643" w:firstLineChars="200"/>
        <w:rPr>
          <w:rFonts w:hint="eastAsia" w:ascii="楷体_GB2312" w:hAnsi="楷体_GB2312" w:eastAsia="楷体_GB2312" w:cs="楷体_GB2312"/>
          <w:b/>
          <w:bCs w:val="0"/>
          <w:kern w:val="2"/>
          <w:sz w:val="32"/>
          <w:szCs w:val="24"/>
          <w:highlight w:val="none"/>
          <w:lang w:val="en-US" w:eastAsia="zh-CN" w:bidi="ar-SA"/>
        </w:rPr>
      </w:pPr>
      <w:bookmarkStart w:id="720" w:name="_Toc31382"/>
      <w:bookmarkStart w:id="721" w:name="_Toc16743"/>
      <w:bookmarkStart w:id="722" w:name="_Toc3419"/>
      <w:bookmarkStart w:id="723" w:name="_Toc3466"/>
      <w:bookmarkStart w:id="724" w:name="_Toc13162"/>
      <w:bookmarkStart w:id="725" w:name="_Toc3616"/>
      <w:bookmarkStart w:id="726" w:name="_Toc600"/>
      <w:bookmarkStart w:id="727" w:name="_Toc28747"/>
      <w:bookmarkStart w:id="728" w:name="_Toc2037"/>
      <w:bookmarkStart w:id="729" w:name="_Toc8770"/>
      <w:bookmarkStart w:id="730" w:name="_Toc18328"/>
      <w:bookmarkStart w:id="731" w:name="_Toc15402"/>
      <w:bookmarkStart w:id="732" w:name="_Toc20984"/>
      <w:bookmarkStart w:id="733" w:name="_Toc14876"/>
      <w:bookmarkStart w:id="734" w:name="_Toc30236"/>
      <w:bookmarkStart w:id="735" w:name="_Toc29486"/>
      <w:bookmarkStart w:id="736" w:name="_Toc7549"/>
      <w:bookmarkStart w:id="737" w:name="_Toc26199"/>
      <w:bookmarkStart w:id="738" w:name="_Toc15901"/>
      <w:bookmarkStart w:id="739" w:name="_Toc18286"/>
      <w:bookmarkStart w:id="740" w:name="_Toc22587"/>
      <w:bookmarkStart w:id="741" w:name="_Toc28960"/>
      <w:bookmarkStart w:id="742" w:name="_Toc32304"/>
      <w:bookmarkStart w:id="743" w:name="_Toc28309"/>
      <w:bookmarkStart w:id="744" w:name="_Toc27205"/>
      <w:bookmarkStart w:id="745" w:name="_Toc2710"/>
      <w:r>
        <w:rPr>
          <w:rFonts w:hint="eastAsia" w:ascii="楷体_GB2312" w:hAnsi="楷体_GB2312" w:eastAsia="楷体_GB2312" w:cs="楷体_GB2312"/>
          <w:b/>
          <w:bCs w:val="0"/>
          <w:kern w:val="2"/>
          <w:sz w:val="32"/>
          <w:szCs w:val="24"/>
          <w:highlight w:val="none"/>
          <w:lang w:val="en-US" w:eastAsia="zh-CN" w:bidi="ar-SA"/>
        </w:rPr>
        <w:t>第十一条  鼓励企业做大做强</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keepNext w:val="0"/>
        <w:keepLines w:val="0"/>
        <w:pageBreakBefore w:val="0"/>
        <w:widowControl w:val="0"/>
        <w:wordWrap/>
        <w:topLinePunct w:val="0"/>
        <w:bidi w:val="0"/>
        <w:spacing w:beforeAutospacing="0" w:afterAutospacing="0" w:line="560" w:lineRule="exact"/>
        <w:ind w:left="0" w:leftChars="0" w:firstLine="640"/>
        <w:rPr>
          <w:rFonts w:hint="eastAsia" w:hAnsi="Times New Roman" w:cs="宋体"/>
          <w:szCs w:val="32"/>
          <w:highlight w:val="none"/>
        </w:rPr>
      </w:pPr>
      <w:bookmarkStart w:id="746" w:name="_Toc11210"/>
      <w:bookmarkStart w:id="747" w:name="_Toc20002"/>
      <w:bookmarkStart w:id="748" w:name="_Toc23537"/>
      <w:bookmarkStart w:id="749" w:name="_Toc26248"/>
      <w:bookmarkStart w:id="750" w:name="_Toc4814"/>
      <w:bookmarkStart w:id="751" w:name="_Toc19769"/>
      <w:bookmarkStart w:id="752" w:name="_Toc29902"/>
      <w:bookmarkStart w:id="753" w:name="_Toc7229"/>
      <w:r>
        <w:rPr>
          <w:rFonts w:hint="eastAsia"/>
          <w:highlight w:val="none"/>
        </w:rPr>
        <w:t>自</w:t>
      </w:r>
      <w:r>
        <w:rPr>
          <w:rFonts w:hint="eastAsia" w:ascii="仿宋_GB2312" w:hAnsi="仿宋_GB2312" w:cs="仿宋_GB2312"/>
          <w:szCs w:val="32"/>
          <w:highlight w:val="none"/>
        </w:rPr>
        <w:t>202</w:t>
      </w:r>
      <w:r>
        <w:rPr>
          <w:rFonts w:hint="eastAsia" w:ascii="仿宋_GB2312" w:hAnsi="仿宋_GB2312" w:cs="仿宋_GB2312"/>
          <w:szCs w:val="32"/>
          <w:highlight w:val="none"/>
          <w:lang w:val="en-US" w:eastAsia="zh-CN"/>
        </w:rPr>
        <w:t>4</w:t>
      </w:r>
      <w:r>
        <w:rPr>
          <w:rFonts w:hint="eastAsia"/>
          <w:highlight w:val="none"/>
        </w:rPr>
        <w:t>年起，</w:t>
      </w:r>
      <w:r>
        <w:rPr>
          <w:rFonts w:hint="eastAsia" w:ascii="仿宋_GB2312" w:hAnsi="Times New Roman" w:cs="宋体"/>
          <w:szCs w:val="32"/>
          <w:highlight w:val="none"/>
        </w:rPr>
        <w:t>对上年度工业产值</w:t>
      </w:r>
      <w:r>
        <w:rPr>
          <w:rFonts w:hint="eastAsia" w:ascii="仿宋_GB2312" w:hAnsi="仿宋_GB2312" w:cs="仿宋_GB2312"/>
          <w:szCs w:val="32"/>
          <w:highlight w:val="none"/>
        </w:rPr>
        <w:t>3</w:t>
      </w:r>
      <w:r>
        <w:rPr>
          <w:rFonts w:hint="eastAsia" w:ascii="仿宋_GB2312" w:hAnsi="Times New Roman" w:cs="宋体"/>
          <w:szCs w:val="32"/>
          <w:highlight w:val="none"/>
        </w:rPr>
        <w:t>亿元以上且达到一定增速、年报工业增加值</w:t>
      </w:r>
      <w:r>
        <w:rPr>
          <w:rFonts w:hint="eastAsia" w:hAnsi="Times New Roman" w:cs="宋体"/>
          <w:szCs w:val="32"/>
          <w:highlight w:val="none"/>
        </w:rPr>
        <w:t>大于零</w:t>
      </w:r>
      <w:r>
        <w:rPr>
          <w:rFonts w:hint="eastAsia" w:ascii="仿宋_GB2312" w:hAnsi="Times New Roman" w:cs="宋体"/>
          <w:szCs w:val="32"/>
          <w:highlight w:val="none"/>
        </w:rPr>
        <w:t>的</w:t>
      </w:r>
      <w:r>
        <w:rPr>
          <w:rFonts w:hint="eastAsia" w:ascii="仿宋_GB2312" w:hAnsi="Times New Roman" w:cs="宋体"/>
          <w:szCs w:val="32"/>
          <w:highlight w:val="none"/>
          <w:lang w:eastAsia="zh-CN"/>
        </w:rPr>
        <w:t>规上</w:t>
      </w:r>
      <w:r>
        <w:rPr>
          <w:rFonts w:hint="eastAsia" w:ascii="仿宋_GB2312" w:hAnsi="Times New Roman" w:cs="宋体"/>
          <w:szCs w:val="32"/>
          <w:highlight w:val="none"/>
        </w:rPr>
        <w:t>工业企业</w:t>
      </w:r>
      <w:r>
        <w:rPr>
          <w:highlight w:val="none"/>
        </w:rPr>
        <w:t>（含市内跨区域分成企业，按分成后产值计算）</w:t>
      </w:r>
      <w:r>
        <w:rPr>
          <w:rFonts w:hint="eastAsia" w:ascii="仿宋_GB2312" w:hAnsi="Times New Roman" w:cs="宋体"/>
          <w:szCs w:val="32"/>
          <w:highlight w:val="none"/>
        </w:rPr>
        <w:t>，按照不超过年报工业增加值新增量的</w:t>
      </w:r>
      <w:r>
        <w:rPr>
          <w:rFonts w:hint="eastAsia" w:ascii="仿宋_GB2312" w:hAnsi="仿宋_GB2312" w:cs="仿宋_GB2312"/>
          <w:szCs w:val="32"/>
          <w:highlight w:val="none"/>
        </w:rPr>
        <w:t>2</w:t>
      </w:r>
      <w:r>
        <w:rPr>
          <w:rFonts w:hint="eastAsia" w:ascii="仿宋_GB2312" w:hAnsi="Times New Roman" w:cs="宋体"/>
          <w:szCs w:val="32"/>
          <w:highlight w:val="none"/>
        </w:rPr>
        <w:t>%</w:t>
      </w:r>
      <w:r>
        <w:rPr>
          <w:rFonts w:hint="eastAsia"/>
          <w:highlight w:val="none"/>
        </w:rPr>
        <w:t>给予资助，</w:t>
      </w:r>
      <w:r>
        <w:rPr>
          <w:rFonts w:hint="eastAsia" w:ascii="仿宋_GB2312" w:hAnsi="Times New Roman" w:cs="宋体"/>
          <w:szCs w:val="32"/>
          <w:highlight w:val="none"/>
        </w:rPr>
        <w:t>每家企业每年资助上限根据企业年报工业增加值规模分档设定，最高</w:t>
      </w:r>
      <w:r>
        <w:rPr>
          <w:rFonts w:hint="eastAsia" w:ascii="仿宋_GB2312" w:hAnsi="仿宋_GB2312" w:cs="仿宋_GB2312"/>
          <w:szCs w:val="32"/>
          <w:highlight w:val="none"/>
        </w:rPr>
        <w:t>1</w:t>
      </w:r>
      <w:r>
        <w:rPr>
          <w:rFonts w:hint="eastAsia" w:ascii="仿宋_GB2312" w:hAnsi="Times New Roman" w:cs="宋体"/>
          <w:szCs w:val="32"/>
          <w:highlight w:val="none"/>
        </w:rPr>
        <w:t>亿元。非成本费用表企业以快报工业增加值代替年报工业增加值计算</w:t>
      </w:r>
      <w:r>
        <w:rPr>
          <w:rFonts w:hint="eastAsia" w:hAnsi="Times New Roman" w:cs="宋体"/>
          <w:szCs w:val="32"/>
          <w:highlight w:val="none"/>
        </w:rPr>
        <w:t>。</w:t>
      </w:r>
    </w:p>
    <w:p>
      <w:pPr>
        <w:pStyle w:val="3"/>
        <w:keepNext w:val="0"/>
        <w:keepLines w:val="0"/>
        <w:pageBreakBefore w:val="0"/>
        <w:widowControl w:val="0"/>
        <w:wordWrap/>
        <w:topLinePunct w:val="0"/>
        <w:bidi w:val="0"/>
        <w:spacing w:before="0" w:beforeLines="0" w:beforeAutospacing="0" w:after="0" w:afterLines="0" w:afterAutospacing="0" w:line="560" w:lineRule="exact"/>
        <w:ind w:left="0" w:leftChars="0" w:firstLine="643" w:firstLineChars="200"/>
        <w:rPr>
          <w:rFonts w:hint="eastAsia" w:ascii="楷体_GB2312" w:hAnsi="楷体_GB2312" w:eastAsia="楷体_GB2312" w:cs="楷体_GB2312"/>
          <w:b/>
          <w:bCs w:val="0"/>
          <w:kern w:val="2"/>
          <w:sz w:val="32"/>
          <w:szCs w:val="24"/>
          <w:highlight w:val="none"/>
          <w:lang w:val="en-US" w:eastAsia="zh-CN" w:bidi="ar-SA"/>
        </w:rPr>
      </w:pPr>
      <w:bookmarkStart w:id="754" w:name="_Toc1409"/>
      <w:bookmarkStart w:id="755" w:name="_Toc21444"/>
      <w:bookmarkStart w:id="756" w:name="_Toc4767"/>
      <w:r>
        <w:rPr>
          <w:rFonts w:hint="eastAsia" w:ascii="楷体_GB2312" w:hAnsi="楷体_GB2312" w:eastAsia="楷体_GB2312" w:cs="楷体_GB2312"/>
          <w:b/>
          <w:bCs w:val="0"/>
          <w:kern w:val="2"/>
          <w:sz w:val="32"/>
          <w:szCs w:val="24"/>
          <w:highlight w:val="none"/>
          <w:lang w:val="en-US" w:eastAsia="zh-CN" w:bidi="ar-SA"/>
        </w:rPr>
        <w:t>第十二条  支持实施卓越绩效管理</w:t>
      </w:r>
      <w:bookmarkEnd w:id="754"/>
      <w:bookmarkEnd w:id="755"/>
      <w:bookmarkEnd w:id="756"/>
    </w:p>
    <w:p>
      <w:pPr>
        <w:keepNext w:val="0"/>
        <w:keepLines w:val="0"/>
        <w:pageBreakBefore w:val="0"/>
        <w:widowControl w:val="0"/>
        <w:wordWrap/>
        <w:topLinePunct w:val="0"/>
        <w:bidi w:val="0"/>
        <w:spacing w:beforeAutospacing="0" w:afterAutospacing="0" w:line="560" w:lineRule="exact"/>
        <w:ind w:left="0" w:leftChars="0" w:firstLine="640" w:firstLineChars="200"/>
        <w:jc w:val="left"/>
        <w:outlineLvl w:val="9"/>
        <w:rPr>
          <w:rFonts w:hint="eastAsia"/>
          <w:highlight w:val="none"/>
        </w:rPr>
      </w:pPr>
      <w:bookmarkStart w:id="757" w:name="_Toc15328"/>
      <w:r>
        <w:rPr>
          <w:rFonts w:hint="eastAsia" w:eastAsia="仿宋_GB2312"/>
          <w:b w:val="0"/>
          <w:highlight w:val="none"/>
          <w:lang w:val="en-US" w:eastAsia="zh-CN"/>
        </w:rPr>
        <w:t>支持</w:t>
      </w:r>
      <w:r>
        <w:rPr>
          <w:rFonts w:hint="eastAsia" w:eastAsia="仿宋_GB2312" w:asciiTheme="minorHAnsi" w:hAnsiTheme="minorHAnsi"/>
          <w:b w:val="0"/>
          <w:highlight w:val="none"/>
        </w:rPr>
        <w:t>辖区企业或</w:t>
      </w:r>
      <w:r>
        <w:rPr>
          <w:rFonts w:hint="eastAsia"/>
          <w:b w:val="0"/>
          <w:highlight w:val="none"/>
          <w:lang w:val="en-US" w:eastAsia="zh-CN"/>
        </w:rPr>
        <w:t>机构</w:t>
      </w:r>
      <w:r>
        <w:rPr>
          <w:rFonts w:hint="eastAsia" w:eastAsia="仿宋_GB2312" w:asciiTheme="minorHAnsi" w:hAnsiTheme="minorHAnsi"/>
          <w:b w:val="0"/>
          <w:highlight w:val="none"/>
        </w:rPr>
        <w:t>运用先进质量管理模式，全面提高质量水平、管理水平和技术创新能力。对实施卓越绩效管理标准，且通过南山市场监管局验收的企业或组织，被列入南山区质量管理示范单位的（每两年组织一次，每次按得分排名评定</w:t>
      </w:r>
      <w:r>
        <w:rPr>
          <w:rFonts w:hint="default" w:eastAsia="仿宋_GB2312" w:asciiTheme="minorHAnsi" w:hAnsiTheme="minorHAnsi" w:cstheme="minorBidi"/>
          <w:b w:val="0"/>
          <w:highlight w:val="none"/>
        </w:rPr>
        <w:t>10</w:t>
      </w:r>
      <w:r>
        <w:rPr>
          <w:rFonts w:hint="eastAsia" w:eastAsia="仿宋_GB2312" w:asciiTheme="minorHAnsi" w:hAnsiTheme="minorHAnsi"/>
          <w:b w:val="0"/>
          <w:highlight w:val="none"/>
        </w:rPr>
        <w:t>家），一次性给予每家</w:t>
      </w:r>
      <w:r>
        <w:rPr>
          <w:rFonts w:hint="default" w:eastAsia="仿宋_GB2312" w:asciiTheme="minorHAnsi" w:hAnsiTheme="minorHAnsi" w:cstheme="minorBidi"/>
          <w:b w:val="0"/>
          <w:highlight w:val="none"/>
        </w:rPr>
        <w:t>30</w:t>
      </w:r>
      <w:r>
        <w:rPr>
          <w:rFonts w:hint="eastAsia" w:eastAsia="仿宋_GB2312" w:asciiTheme="minorHAnsi" w:hAnsiTheme="minorHAnsi"/>
          <w:b w:val="0"/>
          <w:highlight w:val="none"/>
        </w:rPr>
        <w:t>万元资助</w:t>
      </w:r>
      <w:r>
        <w:rPr>
          <w:rFonts w:hint="eastAsia"/>
          <w:b w:val="0"/>
          <w:bCs/>
          <w:highlight w:val="none"/>
        </w:rPr>
        <w:t>。</w:t>
      </w:r>
      <w:bookmarkEnd w:id="757"/>
    </w:p>
    <w:bookmarkEnd w:id="746"/>
    <w:bookmarkEnd w:id="747"/>
    <w:bookmarkEnd w:id="748"/>
    <w:bookmarkEnd w:id="749"/>
    <w:bookmarkEnd w:id="750"/>
    <w:bookmarkEnd w:id="751"/>
    <w:bookmarkEnd w:id="752"/>
    <w:bookmarkEnd w:id="753"/>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textAlignment w:val="auto"/>
        <w:rPr>
          <w:rFonts w:hint="eastAsia"/>
          <w:highlight w:val="none"/>
        </w:rPr>
      </w:pPr>
      <w:bookmarkStart w:id="758" w:name="_Toc20357"/>
      <w:bookmarkStart w:id="759" w:name="_Toc14119"/>
      <w:bookmarkStart w:id="760" w:name="_Toc2537"/>
      <w:bookmarkStart w:id="761" w:name="_Toc20184"/>
      <w:bookmarkStart w:id="762" w:name="_Toc31194"/>
      <w:bookmarkStart w:id="763" w:name="_Toc2174"/>
      <w:bookmarkStart w:id="764" w:name="_Toc25192"/>
      <w:bookmarkStart w:id="765" w:name="_Toc20038"/>
      <w:bookmarkStart w:id="766" w:name="_Toc9256"/>
      <w:bookmarkStart w:id="767" w:name="_Toc8073"/>
      <w:bookmarkStart w:id="768" w:name="_Toc17280"/>
      <w:bookmarkStart w:id="769" w:name="_Toc9108"/>
      <w:bookmarkStart w:id="770" w:name="_Toc9384"/>
      <w:bookmarkStart w:id="771" w:name="_Toc8358"/>
      <w:bookmarkStart w:id="772" w:name="_Toc3875"/>
      <w:bookmarkStart w:id="773" w:name="_Toc18398"/>
      <w:bookmarkStart w:id="774" w:name="_Toc2170"/>
      <w:bookmarkStart w:id="775" w:name="_Toc16331"/>
      <w:bookmarkStart w:id="776" w:name="_Toc18974"/>
      <w:bookmarkStart w:id="777" w:name="_Toc10834"/>
      <w:bookmarkStart w:id="778" w:name="_Toc4585"/>
      <w:bookmarkStart w:id="779" w:name="_Toc16360"/>
      <w:bookmarkStart w:id="780" w:name="_Toc8912"/>
      <w:bookmarkStart w:id="781" w:name="_Toc28857"/>
      <w:bookmarkStart w:id="782" w:name="_Toc17066"/>
      <w:bookmarkStart w:id="783" w:name="_Toc27548"/>
      <w:bookmarkStart w:id="784" w:name="_Toc4044"/>
      <w:bookmarkStart w:id="785" w:name="_Toc17253"/>
      <w:bookmarkStart w:id="786" w:name="_Toc2875"/>
      <w:bookmarkStart w:id="787" w:name="_Toc22018"/>
      <w:bookmarkStart w:id="788" w:name="_Toc28820"/>
      <w:bookmarkStart w:id="789" w:name="_Toc16011"/>
      <w:bookmarkStart w:id="790" w:name="_Toc20740"/>
      <w:bookmarkStart w:id="791" w:name="_Toc31802"/>
      <w:bookmarkStart w:id="792" w:name="_Toc28782"/>
      <w:bookmarkStart w:id="793" w:name="_Toc19984"/>
      <w:bookmarkStart w:id="794" w:name="_Toc19838"/>
      <w:bookmarkStart w:id="795" w:name="_Toc16243"/>
      <w:bookmarkStart w:id="796" w:name="_Toc32648"/>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textAlignment w:val="auto"/>
        <w:rPr>
          <w:highlight w:val="none"/>
        </w:rPr>
      </w:pPr>
      <w:r>
        <w:rPr>
          <w:rFonts w:hint="eastAsia"/>
          <w:highlight w:val="none"/>
        </w:rPr>
        <w:t>第</w:t>
      </w:r>
      <w:r>
        <w:rPr>
          <w:rFonts w:hint="eastAsia"/>
          <w:highlight w:val="none"/>
          <w:lang w:val="en-US" w:eastAsia="zh-CN"/>
        </w:rPr>
        <w:t>三</w:t>
      </w:r>
      <w:r>
        <w:rPr>
          <w:rFonts w:hint="eastAsia"/>
          <w:highlight w:val="none"/>
        </w:rPr>
        <w:t>章  附</w:t>
      </w:r>
      <w:r>
        <w:rPr>
          <w:rFonts w:hint="eastAsia"/>
          <w:highlight w:val="none"/>
          <w:lang w:val="en-US" w:eastAsia="zh-CN"/>
        </w:rPr>
        <w:t xml:space="preserve">  </w:t>
      </w:r>
      <w:r>
        <w:rPr>
          <w:rFonts w:hint="eastAsia"/>
          <w:highlight w:val="none"/>
        </w:rPr>
        <w:t>则</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textAlignment w:val="auto"/>
        <w:rPr>
          <w:rFonts w:hint="eastAsia"/>
          <w:b/>
          <w:bCs/>
          <w:highlight w:val="none"/>
        </w:rPr>
      </w:pPr>
    </w:p>
    <w:p>
      <w:pPr>
        <w:keepNext w:val="0"/>
        <w:keepLines w:val="0"/>
        <w:pageBreakBefore w:val="0"/>
        <w:widowControl w:val="0"/>
        <w:wordWrap/>
        <w:topLinePunct w:val="0"/>
        <w:bidi w:val="0"/>
        <w:spacing w:beforeAutospacing="0" w:afterAutospacing="0" w:line="560" w:lineRule="exact"/>
        <w:ind w:left="0" w:leftChars="0" w:firstLine="643"/>
        <w:rPr>
          <w:highlight w:val="none"/>
        </w:rPr>
      </w:pPr>
      <w:r>
        <w:rPr>
          <w:rFonts w:hint="eastAsia" w:ascii="楷体_GB2312" w:hAnsi="楷体_GB2312" w:eastAsia="楷体_GB2312" w:cs="楷体_GB2312"/>
          <w:b/>
          <w:bCs w:val="0"/>
          <w:highlight w:val="none"/>
        </w:rPr>
        <w:t>第</w:t>
      </w:r>
      <w:r>
        <w:rPr>
          <w:rFonts w:hint="eastAsia" w:ascii="楷体_GB2312" w:hAnsi="楷体_GB2312" w:eastAsia="楷体_GB2312" w:cs="楷体_GB2312"/>
          <w:b/>
          <w:bCs w:val="0"/>
          <w:highlight w:val="none"/>
          <w:lang w:val="en-US" w:eastAsia="zh-CN"/>
        </w:rPr>
        <w:t>十三</w:t>
      </w:r>
      <w:r>
        <w:rPr>
          <w:rFonts w:hint="eastAsia" w:ascii="楷体_GB2312" w:hAnsi="楷体_GB2312" w:eastAsia="楷体_GB2312" w:cs="楷体_GB2312"/>
          <w:b/>
          <w:bCs w:val="0"/>
          <w:highlight w:val="none"/>
        </w:rPr>
        <w:t>条</w:t>
      </w:r>
      <w:r>
        <w:rPr>
          <w:rFonts w:hint="eastAsia"/>
          <w:highlight w:val="none"/>
        </w:rPr>
        <w:t xml:space="preserve">  本措施尚未涵盖但对辖区经济</w:t>
      </w:r>
      <w:r>
        <w:rPr>
          <w:highlight w:val="none"/>
        </w:rPr>
        <w:t>发展</w:t>
      </w:r>
      <w:r>
        <w:rPr>
          <w:rFonts w:hint="eastAsia"/>
          <w:highlight w:val="none"/>
        </w:rPr>
        <w:t>有重要影响的事项或上级部门有明确要求的事项，由相关单位直接向区主管部门提出申请，主管部门提出受理意见，按“一事一议”的方式报区自主创新产业发展专项资金领导小组会议审议。</w:t>
      </w:r>
    </w:p>
    <w:p>
      <w:pPr>
        <w:keepNext w:val="0"/>
        <w:keepLines w:val="0"/>
        <w:pageBreakBefore w:val="0"/>
        <w:widowControl w:val="0"/>
        <w:wordWrap/>
        <w:topLinePunct w:val="0"/>
        <w:bidi w:val="0"/>
        <w:spacing w:beforeAutospacing="0" w:afterAutospacing="0" w:line="560" w:lineRule="exact"/>
        <w:ind w:left="0" w:leftChars="0" w:firstLine="643"/>
        <w:rPr>
          <w:highlight w:val="none"/>
        </w:rPr>
      </w:pPr>
      <w:bookmarkStart w:id="797" w:name="_Toc16178"/>
      <w:r>
        <w:rPr>
          <w:rFonts w:hint="eastAsia" w:ascii="楷体_GB2312" w:hAnsi="楷体_GB2312" w:eastAsia="楷体_GB2312" w:cs="楷体_GB2312"/>
          <w:b/>
          <w:bCs w:val="0"/>
          <w:highlight w:val="none"/>
        </w:rPr>
        <w:t>第</w:t>
      </w:r>
      <w:r>
        <w:rPr>
          <w:rFonts w:hint="eastAsia" w:ascii="楷体_GB2312" w:hAnsi="楷体_GB2312" w:eastAsia="楷体_GB2312" w:cs="楷体_GB2312"/>
          <w:b/>
          <w:bCs w:val="0"/>
          <w:highlight w:val="none"/>
          <w:lang w:val="en-US" w:eastAsia="zh-CN"/>
        </w:rPr>
        <w:t>十四</w:t>
      </w:r>
      <w:r>
        <w:rPr>
          <w:rFonts w:hint="eastAsia" w:ascii="楷体_GB2312" w:hAnsi="楷体_GB2312" w:eastAsia="楷体_GB2312" w:cs="楷体_GB2312"/>
          <w:b/>
          <w:bCs w:val="0"/>
          <w:highlight w:val="none"/>
        </w:rPr>
        <w:t>条</w:t>
      </w:r>
      <w:r>
        <w:rPr>
          <w:rFonts w:hint="eastAsia" w:ascii="楷体_GB2312" w:hAnsi="楷体_GB2312" w:eastAsia="楷体_GB2312" w:cs="楷体_GB2312"/>
          <w:b/>
          <w:highlight w:val="none"/>
        </w:rPr>
        <w:t xml:space="preserve"> </w:t>
      </w:r>
      <w:r>
        <w:rPr>
          <w:highlight w:val="none"/>
        </w:rPr>
        <w:t xml:space="preserve"> </w:t>
      </w:r>
      <w:bookmarkEnd w:id="797"/>
      <w:r>
        <w:rPr>
          <w:rFonts w:hint="eastAsia"/>
          <w:highlight w:val="none"/>
        </w:rPr>
        <w:t>本措施自发布之日起施行，有效期三年。</w:t>
      </w:r>
    </w:p>
    <w:p>
      <w:pPr>
        <w:keepNext w:val="0"/>
        <w:keepLines w:val="0"/>
        <w:pageBreakBefore w:val="0"/>
        <w:widowControl w:val="0"/>
        <w:wordWrap/>
        <w:topLinePunct w:val="0"/>
        <w:bidi w:val="0"/>
        <w:spacing w:beforeAutospacing="0" w:afterAutospacing="0" w:line="560" w:lineRule="exact"/>
        <w:ind w:left="0" w:leftChars="0" w:firstLine="643"/>
        <w:rPr>
          <w:rFonts w:hint="eastAsia"/>
          <w:highlight w:val="none"/>
        </w:rPr>
      </w:pPr>
      <w:r>
        <w:rPr>
          <w:rFonts w:hint="eastAsia" w:ascii="楷体_GB2312" w:hAnsi="楷体_GB2312" w:eastAsia="楷体_GB2312" w:cs="楷体_GB2312"/>
          <w:b/>
          <w:bCs w:val="0"/>
          <w:highlight w:val="none"/>
        </w:rPr>
        <w:t>第</w:t>
      </w:r>
      <w:r>
        <w:rPr>
          <w:rFonts w:hint="eastAsia" w:ascii="楷体_GB2312" w:hAnsi="楷体_GB2312" w:eastAsia="楷体_GB2312" w:cs="楷体_GB2312"/>
          <w:b/>
          <w:bCs w:val="0"/>
          <w:highlight w:val="none"/>
          <w:lang w:val="en-US" w:eastAsia="zh-CN"/>
        </w:rPr>
        <w:t>十五</w:t>
      </w:r>
      <w:r>
        <w:rPr>
          <w:rFonts w:hint="eastAsia" w:ascii="楷体_GB2312" w:hAnsi="楷体_GB2312" w:eastAsia="楷体_GB2312" w:cs="楷体_GB2312"/>
          <w:b/>
          <w:bCs w:val="0"/>
          <w:highlight w:val="none"/>
        </w:rPr>
        <w:t>条</w:t>
      </w:r>
      <w:r>
        <w:rPr>
          <w:rFonts w:hint="eastAsia" w:ascii="楷体_GB2312" w:hAnsi="楷体_GB2312" w:eastAsia="楷体_GB2312" w:cs="楷体_GB2312"/>
          <w:b/>
          <w:highlight w:val="none"/>
        </w:rPr>
        <w:t xml:space="preserve">  </w:t>
      </w:r>
      <w:r>
        <w:rPr>
          <w:rFonts w:hint="eastAsia"/>
          <w:highlight w:val="none"/>
        </w:rPr>
        <w:t>本措施由区工业和信息化局负责解释，制定与本措施相关的操作规程。</w:t>
      </w:r>
    </w:p>
    <w:p>
      <w:pPr>
        <w:pStyle w:val="2"/>
        <w:keepNext w:val="0"/>
        <w:keepLines w:val="0"/>
        <w:pageBreakBefore w:val="0"/>
        <w:widowControl w:val="0"/>
        <w:wordWrap/>
        <w:topLinePunct w:val="0"/>
        <w:bidi w:val="0"/>
        <w:spacing w:before="0" w:beforeLines="0" w:beforeAutospacing="0" w:after="0" w:afterLines="0" w:afterAutospacing="0" w:line="560" w:lineRule="exact"/>
        <w:ind w:left="0" w:leftChars="0"/>
        <w:rPr>
          <w:rFonts w:hint="eastAsia"/>
          <w:highlight w:val="none"/>
        </w:rPr>
      </w:pPr>
    </w:p>
    <w:p>
      <w:pPr>
        <w:keepNext w:val="0"/>
        <w:keepLines w:val="0"/>
        <w:pageBreakBefore w:val="0"/>
        <w:widowControl w:val="0"/>
        <w:wordWrap/>
        <w:topLinePunct w:val="0"/>
        <w:bidi w:val="0"/>
        <w:spacing w:beforeAutospacing="0" w:afterAutospacing="0" w:line="560" w:lineRule="exact"/>
        <w:ind w:left="0" w:leftChars="0"/>
        <w:rPr>
          <w:rFonts w:hint="eastAsia"/>
          <w:highlight w:val="none"/>
        </w:rPr>
      </w:pPr>
    </w:p>
    <w:p>
      <w:pPr>
        <w:pStyle w:val="2"/>
        <w:keepNext w:val="0"/>
        <w:keepLines w:val="0"/>
        <w:pageBreakBefore w:val="0"/>
        <w:widowControl w:val="0"/>
        <w:wordWrap/>
        <w:topLinePunct w:val="0"/>
        <w:bidi w:val="0"/>
        <w:spacing w:before="0" w:beforeLines="0" w:beforeAutospacing="0" w:after="0" w:afterLines="0" w:afterAutospacing="0" w:line="560" w:lineRule="exact"/>
        <w:ind w:left="0" w:leftChars="0"/>
        <w:rPr>
          <w:rFonts w:hint="eastAsia"/>
          <w:highlight w:val="none"/>
        </w:rPr>
      </w:pPr>
    </w:p>
    <w:p>
      <w:pPr>
        <w:keepNext w:val="0"/>
        <w:keepLines w:val="0"/>
        <w:pageBreakBefore w:val="0"/>
        <w:widowControl w:val="0"/>
        <w:wordWrap/>
        <w:topLinePunct w:val="0"/>
        <w:bidi w:val="0"/>
        <w:spacing w:beforeAutospacing="0" w:afterAutospacing="0" w:line="560" w:lineRule="exact"/>
        <w:ind w:left="0" w:leftChars="0"/>
        <w:rPr>
          <w:rFonts w:hint="eastAsia"/>
          <w:highlight w:val="none"/>
        </w:rPr>
      </w:pPr>
    </w:p>
    <w:p>
      <w:pPr>
        <w:pStyle w:val="2"/>
        <w:keepNext w:val="0"/>
        <w:keepLines w:val="0"/>
        <w:pageBreakBefore w:val="0"/>
        <w:widowControl w:val="0"/>
        <w:wordWrap/>
        <w:topLinePunct w:val="0"/>
        <w:bidi w:val="0"/>
        <w:spacing w:before="0" w:beforeLines="0" w:beforeAutospacing="0" w:after="0" w:afterLines="0" w:afterAutospacing="0" w:line="560" w:lineRule="exact"/>
        <w:ind w:left="0" w:leftChars="0"/>
        <w:rPr>
          <w:rFonts w:hint="eastAsia"/>
          <w:highlight w:val="none"/>
        </w:rPr>
      </w:pPr>
    </w:p>
    <w:p>
      <w:pPr>
        <w:keepNext w:val="0"/>
        <w:keepLines w:val="0"/>
        <w:pageBreakBefore w:val="0"/>
        <w:widowControl w:val="0"/>
        <w:wordWrap/>
        <w:topLinePunct w:val="0"/>
        <w:bidi w:val="0"/>
        <w:spacing w:beforeAutospacing="0" w:afterAutospacing="0" w:line="560" w:lineRule="exact"/>
        <w:ind w:left="0" w:leftChars="0"/>
        <w:rPr>
          <w:rFonts w:hint="eastAsia"/>
          <w:highlight w:val="none"/>
        </w:rPr>
      </w:pPr>
    </w:p>
    <w:p>
      <w:pPr>
        <w:pStyle w:val="2"/>
        <w:keepNext w:val="0"/>
        <w:keepLines w:val="0"/>
        <w:pageBreakBefore w:val="0"/>
        <w:widowControl w:val="0"/>
        <w:wordWrap/>
        <w:topLinePunct w:val="0"/>
        <w:bidi w:val="0"/>
        <w:spacing w:before="0" w:beforeLines="0" w:beforeAutospacing="0" w:after="0" w:afterLines="0" w:afterAutospacing="0" w:line="560" w:lineRule="exact"/>
        <w:ind w:left="0" w:leftChars="0"/>
        <w:jc w:val="both"/>
        <w:rPr>
          <w:rFonts w:hint="eastAsia"/>
          <w:highlight w:val="none"/>
        </w:rPr>
      </w:pPr>
    </w:p>
    <w:p>
      <w:pPr>
        <w:keepNext w:val="0"/>
        <w:keepLines w:val="0"/>
        <w:pageBreakBefore w:val="0"/>
        <w:widowControl w:val="0"/>
        <w:wordWrap/>
        <w:topLinePunct w:val="0"/>
        <w:bidi w:val="0"/>
        <w:spacing w:beforeAutospacing="0" w:afterAutospacing="0" w:line="560" w:lineRule="exact"/>
        <w:ind w:left="0" w:leftChars="0" w:firstLine="0" w:firstLineChars="0"/>
        <w:jc w:val="center"/>
        <w:rPr>
          <w:rFonts w:hint="eastAsia" w:ascii="方正小标宋简体" w:hAnsi="方正小标宋简体" w:eastAsia="方正小标宋简体" w:cs="方正小标宋简体"/>
          <w:sz w:val="44"/>
          <w:szCs w:val="44"/>
        </w:rPr>
      </w:pPr>
    </w:p>
    <w:p>
      <w:pPr>
        <w:pStyle w:val="2"/>
        <w:rPr>
          <w:rFonts w:hint="eastAsia" w:ascii="方正小标宋简体" w:hAnsi="方正小标宋简体" w:eastAsia="方正小标宋简体" w:cs="方正小标宋简体"/>
          <w:sz w:val="44"/>
          <w:szCs w:val="44"/>
        </w:rPr>
      </w:pPr>
    </w:p>
    <w:p>
      <w:pPr>
        <w:rPr>
          <w:rFonts w:hint="eastAsia" w:ascii="方正小标宋简体" w:hAnsi="方正小标宋简体" w:eastAsia="方正小标宋简体" w:cs="方正小标宋简体"/>
          <w:sz w:val="44"/>
          <w:szCs w:val="44"/>
        </w:rPr>
      </w:pPr>
    </w:p>
    <w:p>
      <w:pPr>
        <w:pStyle w:val="2"/>
        <w:rPr>
          <w:rFonts w:hint="eastAsia" w:ascii="方正小标宋简体" w:hAnsi="方正小标宋简体" w:eastAsia="方正小标宋简体" w:cs="方正小标宋简体"/>
          <w:sz w:val="44"/>
          <w:szCs w:val="44"/>
        </w:rPr>
      </w:pPr>
    </w:p>
    <w:p>
      <w:pPr>
        <w:rPr>
          <w:rFonts w:hint="eastAsia" w:ascii="方正小标宋简体" w:hAnsi="方正小标宋简体" w:eastAsia="方正小标宋简体" w:cs="方正小标宋简体"/>
          <w:sz w:val="44"/>
          <w:szCs w:val="44"/>
        </w:rPr>
      </w:pPr>
    </w:p>
    <w:p>
      <w:pPr>
        <w:pStyle w:val="2"/>
        <w:rPr>
          <w:rFonts w:hint="eastAsia" w:ascii="方正小标宋简体" w:hAnsi="方正小标宋简体" w:eastAsia="方正小标宋简体" w:cs="方正小标宋简体"/>
          <w:sz w:val="44"/>
          <w:szCs w:val="44"/>
        </w:rPr>
      </w:pPr>
    </w:p>
    <w:p>
      <w:pPr>
        <w:pStyle w:val="2"/>
        <w:jc w:val="both"/>
        <w:rPr>
          <w:rFonts w:hint="eastAsia"/>
        </w:rPr>
      </w:pPr>
    </w:p>
    <w:p>
      <w:pPr>
        <w:keepNext w:val="0"/>
        <w:keepLines w:val="0"/>
        <w:pageBreakBefore w:val="0"/>
        <w:widowControl w:val="0"/>
        <w:wordWrap/>
        <w:topLinePunct w:val="0"/>
        <w:bidi w:val="0"/>
        <w:spacing w:beforeAutospacing="0" w:afterAutospacing="0" w:line="560" w:lineRule="exact"/>
        <w:ind w:left="0" w:leftChars="0" w:firstLine="0" w:firstLineChars="0"/>
        <w:jc w:val="center"/>
        <w:rPr>
          <w:rFonts w:hint="eastAsia" w:ascii="方正小标宋简体" w:hAnsi="方正小标宋简体" w:eastAsia="方正小标宋简体" w:cs="方正小标宋简体"/>
          <w:sz w:val="44"/>
          <w:szCs w:val="44"/>
        </w:rPr>
      </w:pPr>
    </w:p>
    <w:p>
      <w:pPr>
        <w:keepNext w:val="0"/>
        <w:keepLines w:val="0"/>
        <w:pageBreakBefore w:val="0"/>
        <w:widowControl w:val="0"/>
        <w:wordWrap/>
        <w:topLinePunct w:val="0"/>
        <w:bidi w:val="0"/>
        <w:spacing w:beforeAutospacing="0" w:afterAutospacing="0" w:line="560" w:lineRule="exact"/>
        <w:ind w:left="0" w:leftChars="0" w:firstLine="0" w:firstLineChars="0"/>
        <w:jc w:val="center"/>
        <w:rPr>
          <w:rFonts w:hint="eastAsia" w:ascii="方正小标宋简体" w:hAnsi="方正小标宋简体" w:eastAsia="方正小标宋简体" w:cs="方正小标宋简体"/>
          <w:sz w:val="44"/>
          <w:szCs w:val="44"/>
        </w:rPr>
      </w:pPr>
    </w:p>
    <w:p>
      <w:pP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p>
    <w:p>
      <w:pPr>
        <w:keepNext w:val="0"/>
        <w:keepLines w:val="0"/>
        <w:pageBreakBefore w:val="0"/>
        <w:widowControl w:val="0"/>
        <w:wordWrap/>
        <w:topLinePunct w:val="0"/>
        <w:bidi w:val="0"/>
        <w:spacing w:beforeAutospacing="0" w:afterAutospacing="0" w:line="560" w:lineRule="exact"/>
        <w:ind w:left="0" w:leftChars="0"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南山区</w:t>
      </w:r>
      <w:r>
        <w:rPr>
          <w:rFonts w:hint="eastAsia" w:ascii="方正小标宋简体" w:hAnsi="方正小标宋简体" w:eastAsia="方正小标宋简体" w:cs="方正小标宋简体"/>
          <w:sz w:val="44"/>
          <w:szCs w:val="44"/>
          <w:lang w:eastAsia="zh-CN"/>
        </w:rPr>
        <w:t>促进</w:t>
      </w:r>
      <w:r>
        <w:rPr>
          <w:rFonts w:hint="eastAsia" w:ascii="方正小标宋简体" w:hAnsi="方正小标宋简体" w:eastAsia="方正小标宋简体" w:cs="方正小标宋简体"/>
          <w:sz w:val="44"/>
          <w:szCs w:val="44"/>
          <w:lang w:val="en-US" w:eastAsia="zh-CN"/>
        </w:rPr>
        <w:t>重点服务业发展专项扶持措施</w:t>
      </w:r>
    </w:p>
    <w:p>
      <w:pPr>
        <w:pStyle w:val="2"/>
        <w:keepNext w:val="0"/>
        <w:keepLines w:val="0"/>
        <w:pageBreakBefore w:val="0"/>
        <w:widowControl w:val="0"/>
        <w:wordWrap/>
        <w:topLinePunct w:val="0"/>
        <w:bidi w:val="0"/>
        <w:spacing w:before="0" w:beforeLines="0" w:beforeAutospacing="0" w:after="0" w:afterLines="0" w:afterAutospacing="0" w:line="560" w:lineRule="exact"/>
        <w:ind w:left="0" w:leftChars="0"/>
        <w:rPr>
          <w:rFonts w:hint="eastAsia" w:ascii="宋体" w:hAnsi="宋体" w:eastAsia="宋体" w:cs="宋体"/>
          <w:b/>
          <w:bCs/>
          <w:sz w:val="36"/>
          <w:szCs w:val="36"/>
        </w:rPr>
      </w:pPr>
      <w:r>
        <w:rPr>
          <w:rFonts w:hint="eastAsia" w:ascii="宋体" w:hAnsi="宋体" w:eastAsia="宋体" w:cs="宋体"/>
          <w:b/>
          <w:bCs/>
          <w:sz w:val="36"/>
          <w:szCs w:val="36"/>
          <w:lang w:val="en-US" w:eastAsia="zh-CN"/>
        </w:rPr>
        <w:t>（征求意见稿）</w:t>
      </w:r>
      <w:bookmarkStart w:id="798" w:name="_Toc27153"/>
      <w:bookmarkStart w:id="799" w:name="_Toc26757"/>
      <w:bookmarkStart w:id="800" w:name="_Toc29881"/>
      <w:bookmarkStart w:id="801" w:name="_Toc28984"/>
      <w:bookmarkStart w:id="802" w:name="_Toc12492"/>
      <w:bookmarkStart w:id="803" w:name="_Toc6969"/>
      <w:bookmarkStart w:id="804" w:name="_Toc18898"/>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textAlignment w:val="auto"/>
        <w:rPr>
          <w:highlight w:val="none"/>
        </w:rPr>
      </w:pPr>
      <w:r>
        <w:rPr>
          <w:rFonts w:hint="eastAsia"/>
          <w:highlight w:val="none"/>
        </w:rPr>
        <w:t>第一章  总  则</w:t>
      </w:r>
      <w:bookmarkEnd w:id="798"/>
      <w:bookmarkEnd w:id="799"/>
      <w:bookmarkEnd w:id="800"/>
      <w:bookmarkEnd w:id="801"/>
      <w:bookmarkEnd w:id="802"/>
      <w:bookmarkEnd w:id="803"/>
      <w:bookmarkEnd w:id="804"/>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textAlignment w:val="auto"/>
        <w:rPr>
          <w:rFonts w:hint="eastAsia" w:ascii="楷体_GB2312" w:hAnsi="楷体_GB2312" w:eastAsia="楷体_GB2312" w:cs="楷体_GB2312"/>
          <w:b/>
          <w:highlight w:val="none"/>
        </w:rPr>
      </w:pPr>
    </w:p>
    <w:p>
      <w:pPr>
        <w:keepNext w:val="0"/>
        <w:keepLines w:val="0"/>
        <w:pageBreakBefore w:val="0"/>
        <w:widowControl w:val="0"/>
        <w:wordWrap/>
        <w:topLinePunct w:val="0"/>
        <w:bidi w:val="0"/>
        <w:spacing w:beforeAutospacing="0" w:afterAutospacing="0" w:line="560" w:lineRule="exact"/>
        <w:ind w:left="0" w:leftChars="0" w:firstLine="643"/>
        <w:rPr>
          <w:highlight w:val="none"/>
        </w:rPr>
      </w:pPr>
      <w:r>
        <w:rPr>
          <w:rFonts w:hint="eastAsia" w:ascii="楷体_GB2312" w:hAnsi="楷体_GB2312" w:eastAsia="楷体_GB2312" w:cs="楷体_GB2312"/>
          <w:b/>
          <w:highlight w:val="none"/>
        </w:rPr>
        <w:t>第一条</w:t>
      </w:r>
      <w:r>
        <w:rPr>
          <w:rFonts w:hint="eastAsia"/>
          <w:highlight w:val="none"/>
        </w:rPr>
        <w:t xml:space="preserve">  为促进我区经济发展方式转变，推动产业结构优化升级，抢抓粤港澳大湾区和深圳先行示范区“双区”建设机遇，实现南山建成世界级创新型滨海中心城区的目标，同时规范南山区自主创新产业发展专项资金经济发展分项资金的使用和管理，根据《南山区自主创新产业发展专项资金管理办法》和全区经济工作部署，制定本措施。</w:t>
      </w:r>
    </w:p>
    <w:p>
      <w:pPr>
        <w:keepNext w:val="0"/>
        <w:keepLines w:val="0"/>
        <w:pageBreakBefore w:val="0"/>
        <w:widowControl w:val="0"/>
        <w:wordWrap/>
        <w:topLinePunct w:val="0"/>
        <w:bidi w:val="0"/>
        <w:spacing w:beforeAutospacing="0" w:afterAutospacing="0" w:line="560" w:lineRule="exact"/>
        <w:ind w:left="0" w:leftChars="0" w:firstLine="643"/>
        <w:rPr>
          <w:highlight w:val="none"/>
        </w:rPr>
      </w:pPr>
      <w:r>
        <w:rPr>
          <w:rFonts w:hint="eastAsia" w:ascii="楷体_GB2312" w:hAnsi="楷体_GB2312" w:eastAsia="楷体_GB2312" w:cs="楷体_GB2312"/>
          <w:b/>
          <w:highlight w:val="none"/>
        </w:rPr>
        <w:t>第二条</w:t>
      </w:r>
      <w:r>
        <w:rPr>
          <w:rFonts w:hint="eastAsia"/>
          <w:highlight w:val="none"/>
        </w:rPr>
        <w:t xml:space="preserve">  各部分资金量在资金总量控制范围内可适当调整。</w:t>
      </w:r>
    </w:p>
    <w:p>
      <w:pPr>
        <w:keepNext w:val="0"/>
        <w:keepLines w:val="0"/>
        <w:pageBreakBefore w:val="0"/>
        <w:widowControl w:val="0"/>
        <w:wordWrap/>
        <w:topLinePunct w:val="0"/>
        <w:bidi w:val="0"/>
        <w:spacing w:beforeAutospacing="0" w:afterAutospacing="0" w:line="560" w:lineRule="exact"/>
        <w:ind w:left="0" w:leftChars="0" w:firstLine="643"/>
        <w:rPr>
          <w:highlight w:val="none"/>
        </w:rPr>
      </w:pPr>
      <w:r>
        <w:rPr>
          <w:rFonts w:hint="eastAsia" w:ascii="楷体_GB2312" w:hAnsi="楷体_GB2312" w:eastAsia="楷体_GB2312" w:cs="楷体_GB2312"/>
          <w:b/>
          <w:highlight w:val="none"/>
        </w:rPr>
        <w:t>第三条</w:t>
      </w:r>
      <w:r>
        <w:rPr>
          <w:rFonts w:hint="eastAsia"/>
          <w:highlight w:val="none"/>
        </w:rPr>
        <w:t xml:space="preserve">  区工业和信息化局为本措施的主管部门，区自主创新产业发展专项资金领导小组、经济发展分项资金审批专责小组为本措施的决策审批机构。</w:t>
      </w:r>
    </w:p>
    <w:p>
      <w:pPr>
        <w:keepNext w:val="0"/>
        <w:keepLines w:val="0"/>
        <w:pageBreakBefore w:val="0"/>
        <w:widowControl w:val="0"/>
        <w:wordWrap/>
        <w:topLinePunct w:val="0"/>
        <w:bidi w:val="0"/>
        <w:spacing w:beforeAutospacing="0" w:afterAutospacing="0" w:line="560" w:lineRule="exact"/>
        <w:ind w:left="0" w:leftChars="0" w:firstLine="643"/>
        <w:rPr>
          <w:highlight w:val="none"/>
        </w:rPr>
      </w:pPr>
      <w:r>
        <w:rPr>
          <w:rFonts w:hint="eastAsia" w:ascii="楷体_GB2312" w:hAnsi="楷体_GB2312" w:eastAsia="楷体_GB2312" w:cs="楷体_GB2312"/>
          <w:b/>
          <w:highlight w:val="none"/>
        </w:rPr>
        <w:t>第四条</w:t>
      </w:r>
      <w:r>
        <w:rPr>
          <w:rFonts w:hint="eastAsia"/>
          <w:highlight w:val="none"/>
        </w:rPr>
        <w:t xml:space="preserve">  本措施</w:t>
      </w:r>
      <w:r>
        <w:rPr>
          <w:highlight w:val="none"/>
        </w:rPr>
        <w:t>申报主体原则上应符合《南山区自主创新产业发展专项资金管理办法》规定的</w:t>
      </w:r>
      <w:r>
        <w:rPr>
          <w:rFonts w:hint="eastAsia"/>
          <w:highlight w:val="none"/>
          <w:lang w:eastAsia="zh-CN"/>
        </w:rPr>
        <w:t>“</w:t>
      </w:r>
      <w:r>
        <w:rPr>
          <w:rFonts w:hint="eastAsia"/>
          <w:highlight w:val="none"/>
        </w:rPr>
        <w:t>独立法人</w:t>
      </w:r>
      <w:r>
        <w:rPr>
          <w:rFonts w:hint="eastAsia"/>
          <w:highlight w:val="none"/>
          <w:lang w:eastAsia="zh-CN"/>
        </w:rPr>
        <w:t>”“</w:t>
      </w:r>
      <w:r>
        <w:rPr>
          <w:rFonts w:hint="eastAsia"/>
          <w:highlight w:val="none"/>
        </w:rPr>
        <w:t>注册地</w:t>
      </w:r>
      <w:r>
        <w:rPr>
          <w:rFonts w:hint="eastAsia"/>
          <w:highlight w:val="none"/>
          <w:lang w:eastAsia="zh-CN"/>
        </w:rPr>
        <w:t>”“区级</w:t>
      </w:r>
      <w:r>
        <w:rPr>
          <w:rFonts w:hint="eastAsia"/>
          <w:highlight w:val="none"/>
        </w:rPr>
        <w:t>地方财力贡献</w:t>
      </w:r>
      <w:r>
        <w:rPr>
          <w:rFonts w:hint="eastAsia"/>
          <w:highlight w:val="none"/>
          <w:lang w:eastAsia="zh-CN"/>
        </w:rPr>
        <w:t>”“每家单位单个扶持项目资助金额原则不得超过</w:t>
      </w:r>
      <w:r>
        <w:rPr>
          <w:rFonts w:hint="eastAsia"/>
          <w:highlight w:val="none"/>
          <w:lang w:val="en-US" w:eastAsia="zh-CN"/>
        </w:rPr>
        <w:t>1000万元</w:t>
      </w:r>
      <w:r>
        <w:rPr>
          <w:rFonts w:hint="eastAsia"/>
          <w:highlight w:val="none"/>
          <w:lang w:eastAsia="zh-CN"/>
        </w:rPr>
        <w:t>”</w:t>
      </w:r>
      <w:r>
        <w:rPr>
          <w:rFonts w:hint="eastAsia"/>
          <w:highlight w:val="none"/>
        </w:rPr>
        <w:t>等相关条件</w:t>
      </w:r>
      <w:r>
        <w:rPr>
          <w:highlight w:val="none"/>
        </w:rPr>
        <w:t>，以下情形除外：</w:t>
      </w:r>
    </w:p>
    <w:p>
      <w:pPr>
        <w:keepNext w:val="0"/>
        <w:keepLines w:val="0"/>
        <w:pageBreakBefore w:val="0"/>
        <w:widowControl w:val="0"/>
        <w:wordWrap/>
        <w:topLinePunct w:val="0"/>
        <w:bidi w:val="0"/>
        <w:spacing w:beforeAutospacing="0" w:afterAutospacing="0" w:line="560" w:lineRule="exact"/>
        <w:ind w:left="0" w:leftChars="0" w:firstLine="640"/>
        <w:rPr>
          <w:highlight w:val="none"/>
        </w:rPr>
      </w:pPr>
      <w:r>
        <w:rPr>
          <w:highlight w:val="none"/>
        </w:rPr>
        <w:t>（</w:t>
      </w:r>
      <w:r>
        <w:rPr>
          <w:rFonts w:hint="eastAsia"/>
          <w:highlight w:val="none"/>
          <w:lang w:eastAsia="zh-CN"/>
        </w:rPr>
        <w:t>一</w:t>
      </w:r>
      <w:r>
        <w:rPr>
          <w:highlight w:val="none"/>
        </w:rPr>
        <w:t>）申请</w:t>
      </w:r>
      <w:r>
        <w:rPr>
          <w:rFonts w:hint="eastAsia"/>
          <w:highlight w:val="none"/>
        </w:rPr>
        <w:t>支持专业服务业集聚、推进人力资源服务集聚发展、鼓励专业服务业企业纳统入库</w:t>
      </w:r>
      <w:r>
        <w:rPr>
          <w:rFonts w:hint="eastAsia"/>
          <w:highlight w:val="none"/>
          <w:lang w:eastAsia="zh-CN"/>
        </w:rPr>
        <w:t>、</w:t>
      </w:r>
      <w:r>
        <w:rPr>
          <w:rFonts w:hint="eastAsia"/>
          <w:highlight w:val="none"/>
        </w:rPr>
        <w:t>鼓励营利性服务业企业做大做强</w:t>
      </w:r>
      <w:r>
        <w:rPr>
          <w:highlight w:val="none"/>
        </w:rPr>
        <w:t>的</w:t>
      </w:r>
      <w:r>
        <w:rPr>
          <w:rFonts w:hint="eastAsia"/>
          <w:highlight w:val="none"/>
        </w:rPr>
        <w:t>企业</w:t>
      </w:r>
      <w:r>
        <w:rPr>
          <w:highlight w:val="none"/>
        </w:rPr>
        <w:t>可不受</w:t>
      </w:r>
      <w:r>
        <w:rPr>
          <w:rFonts w:hint="default" w:ascii="仿宋_GB2312" w:hAnsi="仿宋_GB2312" w:eastAsia="仿宋_GB2312" w:cs="仿宋_GB2312"/>
          <w:color w:val="auto"/>
          <w:sz w:val="32"/>
          <w:szCs w:val="40"/>
          <w:highlight w:val="none"/>
        </w:rPr>
        <w:t>《南山区自主创新产业发展专项资金管理办法》规定的</w:t>
      </w:r>
      <w:r>
        <w:rPr>
          <w:rFonts w:hint="eastAsia"/>
          <w:highlight w:val="none"/>
          <w:lang w:eastAsia="zh-CN"/>
        </w:rPr>
        <w:t>“</w:t>
      </w:r>
      <w:r>
        <w:rPr>
          <w:highlight w:val="none"/>
        </w:rPr>
        <w:t>独立法人</w:t>
      </w:r>
      <w:r>
        <w:rPr>
          <w:rFonts w:hint="eastAsia"/>
          <w:highlight w:val="none"/>
          <w:lang w:eastAsia="zh-CN"/>
        </w:rPr>
        <w:t>”</w:t>
      </w:r>
      <w:r>
        <w:rPr>
          <w:highlight w:val="none"/>
        </w:rPr>
        <w:t>资格条件限制。</w:t>
      </w:r>
    </w:p>
    <w:p>
      <w:pPr>
        <w:keepNext w:val="0"/>
        <w:keepLines w:val="0"/>
        <w:pageBreakBefore w:val="0"/>
        <w:widowControl w:val="0"/>
        <w:wordWrap/>
        <w:topLinePunct w:val="0"/>
        <w:bidi w:val="0"/>
        <w:spacing w:beforeAutospacing="0" w:afterAutospacing="0" w:line="560" w:lineRule="exact"/>
        <w:ind w:left="0" w:leftChars="0" w:firstLine="640"/>
        <w:rPr>
          <w:highlight w:val="none"/>
        </w:rPr>
      </w:pPr>
      <w:r>
        <w:rPr>
          <w:highlight w:val="none"/>
        </w:rPr>
        <w:t>（</w:t>
      </w:r>
      <w:r>
        <w:rPr>
          <w:rFonts w:hint="eastAsia"/>
          <w:highlight w:val="none"/>
          <w:lang w:eastAsia="zh-CN"/>
        </w:rPr>
        <w:t>二</w:t>
      </w:r>
      <w:r>
        <w:rPr>
          <w:highlight w:val="none"/>
        </w:rPr>
        <w:t>）申请</w:t>
      </w:r>
      <w:r>
        <w:rPr>
          <w:rFonts w:hint="eastAsia"/>
          <w:highlight w:val="none"/>
        </w:rPr>
        <w:t>鼓励专业服务业企业纳统入库、鼓励营利性服务业企业做大做强</w:t>
      </w:r>
      <w:r>
        <w:rPr>
          <w:highlight w:val="none"/>
        </w:rPr>
        <w:t>的企业可不受</w:t>
      </w:r>
      <w:r>
        <w:rPr>
          <w:rFonts w:hint="default" w:ascii="仿宋_GB2312" w:hAnsi="仿宋_GB2312" w:eastAsia="仿宋_GB2312" w:cs="仿宋_GB2312"/>
          <w:color w:val="auto"/>
          <w:sz w:val="32"/>
          <w:szCs w:val="40"/>
          <w:highlight w:val="none"/>
        </w:rPr>
        <w:t>《南山区自主创新产业发展专项资金管理办法》规定的</w:t>
      </w:r>
      <w:r>
        <w:rPr>
          <w:rFonts w:hint="eastAsia"/>
          <w:highlight w:val="none"/>
          <w:lang w:eastAsia="zh-CN"/>
        </w:rPr>
        <w:t>“</w:t>
      </w:r>
      <w:r>
        <w:rPr>
          <w:highlight w:val="none"/>
        </w:rPr>
        <w:t>注册地</w:t>
      </w:r>
      <w:r>
        <w:rPr>
          <w:rFonts w:hint="eastAsia"/>
          <w:highlight w:val="none"/>
          <w:lang w:eastAsia="zh-CN"/>
        </w:rPr>
        <w:t>”</w:t>
      </w:r>
      <w:r>
        <w:rPr>
          <w:highlight w:val="none"/>
        </w:rPr>
        <w:t>资格条件限制。</w:t>
      </w:r>
    </w:p>
    <w:p>
      <w:pPr>
        <w:keepNext w:val="0"/>
        <w:keepLines w:val="0"/>
        <w:pageBreakBefore w:val="0"/>
        <w:widowControl w:val="0"/>
        <w:wordWrap/>
        <w:topLinePunct w:val="0"/>
        <w:bidi w:val="0"/>
        <w:spacing w:beforeAutospacing="0" w:afterAutospacing="0" w:line="560" w:lineRule="exact"/>
        <w:ind w:left="0" w:leftChars="0" w:firstLine="640"/>
        <w:rPr>
          <w:rFonts w:hint="eastAsia"/>
          <w:highlight w:val="none"/>
        </w:rPr>
      </w:pPr>
      <w:r>
        <w:rPr>
          <w:rFonts w:hint="eastAsia"/>
          <w:highlight w:val="none"/>
        </w:rPr>
        <w:t>（</w:t>
      </w:r>
      <w:r>
        <w:rPr>
          <w:rFonts w:hint="eastAsia"/>
          <w:highlight w:val="none"/>
          <w:lang w:eastAsia="zh-CN"/>
        </w:rPr>
        <w:t>三</w:t>
      </w:r>
      <w:r>
        <w:rPr>
          <w:rFonts w:hint="eastAsia"/>
          <w:highlight w:val="none"/>
        </w:rPr>
        <w:t>）申请支持专业服务业集聚</w:t>
      </w:r>
      <w:r>
        <w:rPr>
          <w:rFonts w:hint="eastAsia"/>
          <w:highlight w:val="none"/>
          <w:lang w:eastAsia="zh-CN"/>
        </w:rPr>
        <w:t>、</w:t>
      </w:r>
      <w:r>
        <w:rPr>
          <w:rFonts w:hint="eastAsia"/>
          <w:highlight w:val="none"/>
        </w:rPr>
        <w:t>推进人力资源服务集聚发展、支持工业设计研究院认定、支持工业设计成果转化、鼓励专业服务业企业纳统入库、鼓励营利性服务业企业做大做强的企业不受</w:t>
      </w:r>
      <w:r>
        <w:rPr>
          <w:rFonts w:hint="default" w:ascii="仿宋_GB2312" w:hAnsi="仿宋_GB2312" w:eastAsia="仿宋_GB2312" w:cs="仿宋_GB2312"/>
          <w:color w:val="auto"/>
          <w:sz w:val="32"/>
          <w:szCs w:val="40"/>
          <w:highlight w:val="none"/>
        </w:rPr>
        <w:t>《南山区自主创新产业发展专项资金管理办法》规定的</w:t>
      </w:r>
      <w:r>
        <w:rPr>
          <w:rFonts w:hint="eastAsia"/>
          <w:highlight w:val="none"/>
        </w:rPr>
        <w:t>“区级地方财力贡献”限制。</w:t>
      </w:r>
    </w:p>
    <w:p>
      <w:pPr>
        <w:pStyle w:val="2"/>
        <w:keepNext w:val="0"/>
        <w:keepLines w:val="0"/>
        <w:pageBreakBefore w:val="0"/>
        <w:widowControl w:val="0"/>
        <w:wordWrap/>
        <w:topLinePunct w:val="0"/>
        <w:bidi w:val="0"/>
        <w:spacing w:before="0" w:beforeLines="0" w:beforeAutospacing="0" w:after="0" w:afterLines="0" w:afterAutospacing="0" w:line="560" w:lineRule="exact"/>
        <w:ind w:left="0" w:leftChars="0" w:firstLine="640" w:firstLineChars="200"/>
        <w:jc w:val="both"/>
        <w:rPr>
          <w:rFonts w:hint="eastAsia" w:eastAsia="仿宋_GB2312"/>
          <w:b w:val="0"/>
          <w:bCs/>
          <w:kern w:val="2"/>
          <w:highlight w:val="none"/>
          <w:lang w:eastAsia="zh-CN"/>
        </w:rPr>
      </w:pPr>
      <w:r>
        <w:rPr>
          <w:rFonts w:hint="eastAsia" w:eastAsia="仿宋_GB2312"/>
          <w:b w:val="0"/>
          <w:bCs/>
          <w:kern w:val="2"/>
          <w:highlight w:val="none"/>
          <w:lang w:eastAsia="zh-CN"/>
        </w:rPr>
        <w:t>（四）申请支持“5G+工业互联网”标杆示范项目、鼓励营利性服务业企业做大做强的企业可不受“每家单位单个扶持项目资助金额原则不得超过1000万元”总量控制限制。</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left="0" w:leftChars="0"/>
        <w:textAlignment w:val="auto"/>
        <w:rPr>
          <w:rFonts w:hint="eastAsia"/>
          <w:highlight w:val="none"/>
          <w:lang w:val="en-US" w:eastAsia="zh-CN"/>
        </w:rPr>
      </w:pPr>
      <w:bookmarkStart w:id="805" w:name="_Toc32548"/>
      <w:bookmarkStart w:id="806" w:name="_Toc6612"/>
      <w:bookmarkStart w:id="807" w:name="_Toc26235"/>
      <w:bookmarkStart w:id="808" w:name="_Toc7296"/>
      <w:bookmarkStart w:id="809" w:name="_Toc19108"/>
      <w:bookmarkStart w:id="810" w:name="_Toc15722"/>
      <w:bookmarkStart w:id="811" w:name="_Toc27605"/>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left="0" w:leftChars="0"/>
        <w:textAlignment w:val="auto"/>
        <w:rPr>
          <w:highlight w:val="none"/>
        </w:rPr>
      </w:pPr>
      <w:r>
        <w:rPr>
          <w:rFonts w:hint="eastAsia"/>
          <w:highlight w:val="none"/>
          <w:lang w:val="en-US" w:eastAsia="zh-CN"/>
        </w:rPr>
        <w:t>第二章</w:t>
      </w:r>
      <w:r>
        <w:rPr>
          <w:rFonts w:hint="eastAsia"/>
          <w:highlight w:val="none"/>
        </w:rPr>
        <w:t xml:space="preserve"> </w:t>
      </w:r>
      <w:bookmarkStart w:id="812" w:name="_Toc1468"/>
      <w:bookmarkStart w:id="813" w:name="_Toc29632"/>
      <w:bookmarkStart w:id="814" w:name="_Toc15197"/>
      <w:bookmarkStart w:id="815" w:name="_Toc27409"/>
      <w:bookmarkStart w:id="816" w:name="_Toc5402"/>
      <w:bookmarkStart w:id="817" w:name="_Toc16062"/>
      <w:bookmarkStart w:id="818" w:name="_Toc17617"/>
      <w:bookmarkStart w:id="819" w:name="_Toc17994"/>
      <w:bookmarkStart w:id="820" w:name="_Toc32624"/>
      <w:r>
        <w:rPr>
          <w:rFonts w:hint="eastAsia"/>
          <w:highlight w:val="none"/>
        </w:rPr>
        <w:t>支持重点服务</w:t>
      </w:r>
      <w:r>
        <w:rPr>
          <w:rFonts w:hint="eastAsia"/>
          <w:b w:val="0"/>
          <w:bCs w:val="0"/>
          <w:highlight w:val="none"/>
        </w:rPr>
        <w:t>业发展</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firstLine="643"/>
        <w:textAlignment w:val="auto"/>
        <w:rPr>
          <w:rFonts w:hint="eastAsia"/>
          <w:highlight w:val="none"/>
        </w:rPr>
      </w:pPr>
      <w:bookmarkStart w:id="821" w:name="_Toc32683"/>
      <w:bookmarkStart w:id="822" w:name="_Toc95417783"/>
      <w:bookmarkStart w:id="823" w:name="_Toc489"/>
      <w:bookmarkStart w:id="824" w:name="_Toc21300"/>
      <w:bookmarkStart w:id="825" w:name="_Toc30540"/>
      <w:bookmarkStart w:id="826" w:name="_Toc29264"/>
      <w:bookmarkStart w:id="827" w:name="_Toc8282"/>
      <w:bookmarkStart w:id="828" w:name="_Toc12425"/>
      <w:bookmarkStart w:id="829" w:name="_Toc1196"/>
      <w:bookmarkStart w:id="830" w:name="_Toc26879"/>
      <w:bookmarkStart w:id="831" w:name="_Toc4376"/>
      <w:bookmarkStart w:id="832" w:name="_Toc2716"/>
      <w:bookmarkStart w:id="833" w:name="_Toc14588"/>
      <w:bookmarkStart w:id="834" w:name="_Toc22034"/>
      <w:bookmarkStart w:id="835" w:name="_Toc6437"/>
      <w:bookmarkStart w:id="836" w:name="_Toc16400"/>
      <w:bookmarkStart w:id="837" w:name="_Toc280"/>
      <w:bookmarkStart w:id="838" w:name="_Toc95417948"/>
      <w:bookmarkStart w:id="839" w:name="_Toc1683"/>
      <w:bookmarkStart w:id="840" w:name="_Toc28988"/>
    </w:p>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Pr>
        <w:pStyle w:val="4"/>
        <w:keepNext w:val="0"/>
        <w:keepLines w:val="0"/>
        <w:pageBreakBefore w:val="0"/>
        <w:widowControl w:val="0"/>
        <w:numPr>
          <w:numId w:val="0"/>
        </w:numPr>
        <w:wordWrap/>
        <w:topLinePunct w:val="0"/>
        <w:bidi w:val="0"/>
        <w:spacing w:beforeAutospacing="0" w:afterAutospacing="0" w:line="560" w:lineRule="exact"/>
        <w:ind w:left="643" w:leftChars="0"/>
        <w:rPr>
          <w:rFonts w:hint="eastAsia" w:ascii="楷体_GB2312" w:hAnsi="楷体_GB2312" w:eastAsia="楷体_GB2312" w:cs="楷体_GB2312"/>
          <w:highlight w:val="none"/>
        </w:rPr>
      </w:pPr>
      <w:bookmarkStart w:id="841" w:name="_Toc1646"/>
      <w:bookmarkStart w:id="842" w:name="_Toc95417949"/>
      <w:bookmarkStart w:id="843" w:name="_Toc95417784"/>
      <w:bookmarkStart w:id="844" w:name="_Toc31209"/>
      <w:bookmarkStart w:id="845" w:name="_Toc26261"/>
      <w:bookmarkStart w:id="846" w:name="_Toc24239"/>
      <w:bookmarkStart w:id="847" w:name="_Toc8554"/>
      <w:bookmarkStart w:id="848" w:name="_Toc11369"/>
      <w:bookmarkStart w:id="849" w:name="_Toc5440"/>
      <w:bookmarkStart w:id="850" w:name="_Toc2164"/>
      <w:bookmarkStart w:id="851" w:name="_Toc18998"/>
      <w:bookmarkStart w:id="852" w:name="_Toc2610"/>
      <w:bookmarkStart w:id="853" w:name="_Toc8682"/>
      <w:bookmarkStart w:id="854" w:name="_Toc2932"/>
      <w:bookmarkStart w:id="855" w:name="_Toc3710"/>
      <w:bookmarkStart w:id="856" w:name="_Toc13128"/>
      <w:bookmarkStart w:id="857" w:name="_Toc1432"/>
      <w:bookmarkStart w:id="858" w:name="_Toc29643"/>
      <w:bookmarkStart w:id="859" w:name="_Toc14679"/>
      <w:bookmarkStart w:id="860" w:name="_Toc4465"/>
      <w:r>
        <w:rPr>
          <w:rFonts w:hint="eastAsia" w:ascii="楷体_GB2312" w:hAnsi="楷体_GB2312" w:eastAsia="楷体_GB2312" w:cs="楷体_GB2312"/>
          <w:highlight w:val="none"/>
        </w:rPr>
        <w:t>第</w:t>
      </w:r>
      <w:r>
        <w:rPr>
          <w:rFonts w:hint="eastAsia" w:ascii="楷体_GB2312" w:hAnsi="楷体_GB2312" w:eastAsia="楷体_GB2312" w:cs="楷体_GB2312"/>
          <w:highlight w:val="none"/>
          <w:lang w:val="en-US" w:eastAsia="zh-CN"/>
        </w:rPr>
        <w:t>五</w:t>
      </w:r>
      <w:r>
        <w:rPr>
          <w:rFonts w:hint="eastAsia" w:ascii="楷体_GB2312" w:hAnsi="楷体_GB2312" w:eastAsia="楷体_GB2312" w:cs="楷体_GB2312"/>
          <w:highlight w:val="none"/>
        </w:rPr>
        <w:t xml:space="preserve">条 </w:t>
      </w:r>
      <w:r>
        <w:rPr>
          <w:rFonts w:hint="eastAsia" w:ascii="楷体_GB2312" w:hAnsi="楷体_GB2312" w:eastAsia="楷体_GB2312" w:cs="楷体_GB2312"/>
          <w:highlight w:val="none"/>
          <w:lang w:val="en-US" w:eastAsia="zh-CN"/>
        </w:rPr>
        <w:t xml:space="preserve"> </w:t>
      </w:r>
      <w:r>
        <w:rPr>
          <w:rFonts w:hint="eastAsia" w:ascii="楷体_GB2312" w:hAnsi="楷体_GB2312" w:eastAsia="楷体_GB2312" w:cs="楷体_GB2312"/>
          <w:highlight w:val="none"/>
        </w:rPr>
        <w:t>支持软件和信息技术服务业发展</w:t>
      </w:r>
    </w:p>
    <w:p>
      <w:pPr>
        <w:pStyle w:val="4"/>
        <w:keepNext w:val="0"/>
        <w:keepLines w:val="0"/>
        <w:pageBreakBefore w:val="0"/>
        <w:widowControl w:val="0"/>
        <w:numPr>
          <w:ilvl w:val="0"/>
          <w:numId w:val="0"/>
        </w:numPr>
        <w:wordWrap/>
        <w:topLinePunct w:val="0"/>
        <w:bidi w:val="0"/>
        <w:spacing w:beforeAutospacing="0" w:afterAutospacing="0" w:line="560" w:lineRule="exact"/>
        <w:ind w:left="0" w:leftChars="0" w:firstLine="643" w:firstLineChars="200"/>
        <w:rPr>
          <w:highlight w:val="none"/>
        </w:rPr>
      </w:pPr>
      <w:r>
        <w:rPr>
          <w:rFonts w:hint="eastAsia"/>
          <w:highlight w:val="none"/>
        </w:rPr>
        <w:t>（一）</w:t>
      </w:r>
      <w:bookmarkEnd w:id="841"/>
      <w:bookmarkEnd w:id="842"/>
      <w:bookmarkEnd w:id="843"/>
      <w:r>
        <w:rPr>
          <w:rFonts w:hint="eastAsia"/>
          <w:highlight w:val="none"/>
        </w:rPr>
        <w:t>支持企业数字化转型</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keepNext w:val="0"/>
        <w:keepLines w:val="0"/>
        <w:pageBreakBefore w:val="0"/>
        <w:widowControl w:val="0"/>
        <w:numPr>
          <w:ilvl w:val="255"/>
          <w:numId w:val="0"/>
        </w:numPr>
        <w:wordWrap/>
        <w:topLinePunct w:val="0"/>
        <w:bidi w:val="0"/>
        <w:spacing w:beforeAutospacing="0" w:afterAutospacing="0" w:line="560" w:lineRule="exact"/>
        <w:ind w:left="0" w:leftChars="0" w:firstLine="640" w:firstLineChars="200"/>
        <w:rPr>
          <w:rFonts w:ascii="仿宋_GB2312"/>
          <w:highlight w:val="none"/>
        </w:rPr>
      </w:pPr>
      <w:bookmarkStart w:id="861" w:name="_Toc11522"/>
      <w:bookmarkStart w:id="862" w:name="_Toc11715"/>
      <w:bookmarkStart w:id="863" w:name="_Toc25029"/>
      <w:bookmarkStart w:id="864" w:name="_Toc4727"/>
      <w:bookmarkStart w:id="865" w:name="_Toc1454"/>
      <w:bookmarkStart w:id="866" w:name="_Toc18564"/>
      <w:bookmarkStart w:id="867" w:name="_Toc5521"/>
      <w:bookmarkStart w:id="868" w:name="_Toc18900"/>
      <w:r>
        <w:rPr>
          <w:rFonts w:hint="eastAsia" w:ascii="仿宋_GB2312"/>
          <w:highlight w:val="none"/>
        </w:rPr>
        <w:t>支持辖区内工业、服务业企业与辖区内云服务商、工业互联网服务商合作开展数字化转型。对上年度产值（营收）达到一定规模的工业和</w:t>
      </w:r>
      <w:r>
        <w:rPr>
          <w:rFonts w:hint="eastAsia"/>
          <w:highlight w:val="none"/>
        </w:rPr>
        <w:t>重点</w:t>
      </w:r>
      <w:r>
        <w:rPr>
          <w:rFonts w:hint="eastAsia" w:ascii="仿宋_GB2312"/>
          <w:highlight w:val="none"/>
        </w:rPr>
        <w:t>服务业企业，通过采购辖区重点供应商的云服务或工业互联网服务推进企业数字化转型的，按照不超过经审计</w:t>
      </w:r>
      <w:r>
        <w:rPr>
          <w:rFonts w:hint="eastAsia"/>
          <w:highlight w:val="none"/>
        </w:rPr>
        <w:t>的实际</w:t>
      </w:r>
      <w:r>
        <w:rPr>
          <w:rFonts w:hint="eastAsia" w:ascii="仿宋_GB2312"/>
          <w:highlight w:val="none"/>
        </w:rPr>
        <w:t>投入金额的30%，给予单个企业每年最高100万元资助。</w:t>
      </w:r>
      <w:r>
        <w:rPr>
          <w:highlight w:val="none"/>
        </w:rPr>
        <w:t>获得国家工信部专精特新“小巨人”企业</w:t>
      </w:r>
      <w:r>
        <w:rPr>
          <w:rFonts w:hint="eastAsia"/>
          <w:highlight w:val="none"/>
        </w:rPr>
        <w:t>或</w:t>
      </w:r>
      <w:r>
        <w:rPr>
          <w:highlight w:val="none"/>
        </w:rPr>
        <w:t>广东省“专精特新”</w:t>
      </w:r>
      <w:r>
        <w:rPr>
          <w:rFonts w:hint="eastAsia"/>
          <w:highlight w:val="none"/>
        </w:rPr>
        <w:t>中小</w:t>
      </w:r>
      <w:r>
        <w:rPr>
          <w:highlight w:val="none"/>
        </w:rPr>
        <w:t>企业称号的，</w:t>
      </w:r>
      <w:r>
        <w:rPr>
          <w:rFonts w:hint="eastAsia"/>
          <w:highlight w:val="none"/>
        </w:rPr>
        <w:t>资助比例上限由30%提高至50%，给予单个企业每年最高200万元资助</w:t>
      </w:r>
      <w:r>
        <w:rPr>
          <w:highlight w:val="none"/>
        </w:rPr>
        <w:t>。</w:t>
      </w:r>
      <w:r>
        <w:rPr>
          <w:rFonts w:hint="eastAsia" w:ascii="仿宋_GB2312"/>
          <w:highlight w:val="none"/>
        </w:rPr>
        <w:t>本条款执行资金总量控制。</w:t>
      </w:r>
    </w:p>
    <w:p>
      <w:pPr>
        <w:pStyle w:val="4"/>
        <w:keepNext w:val="0"/>
        <w:keepLines w:val="0"/>
        <w:pageBreakBefore w:val="0"/>
        <w:widowControl w:val="0"/>
        <w:wordWrap/>
        <w:topLinePunct w:val="0"/>
        <w:bidi w:val="0"/>
        <w:spacing w:beforeAutospacing="0" w:afterAutospacing="0" w:line="560" w:lineRule="exact"/>
        <w:ind w:left="0" w:leftChars="0" w:firstLine="643"/>
        <w:rPr>
          <w:highlight w:val="none"/>
        </w:rPr>
      </w:pPr>
      <w:bookmarkStart w:id="869" w:name="_Toc2804"/>
      <w:bookmarkStart w:id="870" w:name="_Toc1639"/>
      <w:bookmarkStart w:id="871" w:name="_Toc31180"/>
      <w:bookmarkStart w:id="872" w:name="_Toc23222"/>
      <w:bookmarkStart w:id="873" w:name="_Toc5699"/>
      <w:bookmarkStart w:id="874" w:name="_Toc22912"/>
      <w:bookmarkStart w:id="875" w:name="_Toc32118"/>
      <w:bookmarkStart w:id="876" w:name="_Toc11502"/>
      <w:bookmarkStart w:id="877" w:name="_Toc23717"/>
      <w:r>
        <w:rPr>
          <w:rFonts w:hint="eastAsia"/>
          <w:highlight w:val="none"/>
        </w:rPr>
        <w:t>（二）支持“首版次”软件产品</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keepNext w:val="0"/>
        <w:keepLines w:val="0"/>
        <w:pageBreakBefore w:val="0"/>
        <w:widowControl w:val="0"/>
        <w:numPr>
          <w:ilvl w:val="255"/>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仿宋_GB2312" w:hAnsi="仿宋_GB2312" w:cs="仿宋_GB2312"/>
          <w:szCs w:val="32"/>
          <w:highlight w:val="none"/>
        </w:rPr>
      </w:pPr>
      <w:bookmarkStart w:id="878" w:name="_Hlk95824324"/>
      <w:r>
        <w:rPr>
          <w:rFonts w:hint="eastAsia" w:ascii="仿宋_GB2312" w:hAnsi="仿宋_GB2312" w:cs="仿宋_GB2312"/>
          <w:szCs w:val="32"/>
          <w:highlight w:val="none"/>
        </w:rPr>
        <w:t>支持企业推广应用《南山区首版次软件指导目录》内的产品</w:t>
      </w:r>
      <w:r>
        <w:rPr>
          <w:rFonts w:hint="eastAsia" w:cs="仿宋_GB2312"/>
          <w:szCs w:val="32"/>
          <w:highlight w:val="none"/>
        </w:rPr>
        <w:t>。</w:t>
      </w:r>
      <w:r>
        <w:rPr>
          <w:rFonts w:hint="eastAsia" w:ascii="仿宋_GB2312" w:hAnsi="仿宋_GB2312" w:cs="仿宋_GB2312"/>
          <w:szCs w:val="32"/>
          <w:highlight w:val="none"/>
        </w:rPr>
        <w:t>对取得目录产品软件著作权且完成第三方检测的规模以上</w:t>
      </w:r>
      <w:r>
        <w:rPr>
          <w:rFonts w:hint="eastAsia" w:cs="仿宋_GB2312"/>
          <w:szCs w:val="32"/>
          <w:highlight w:val="none"/>
        </w:rPr>
        <w:t>重点</w:t>
      </w:r>
      <w:r>
        <w:rPr>
          <w:rFonts w:hint="eastAsia" w:ascii="仿宋_GB2312" w:hAnsi="仿宋_GB2312" w:cs="仿宋_GB2312"/>
          <w:szCs w:val="32"/>
          <w:highlight w:val="none"/>
        </w:rPr>
        <w:t>服务业企业，按照每个目录产品3万元，给予单个企业</w:t>
      </w:r>
      <w:r>
        <w:rPr>
          <w:rFonts w:hint="eastAsia" w:cs="仿宋_GB2312"/>
          <w:szCs w:val="32"/>
          <w:highlight w:val="none"/>
        </w:rPr>
        <w:t>每年</w:t>
      </w:r>
      <w:r>
        <w:rPr>
          <w:rFonts w:hint="eastAsia" w:ascii="仿宋_GB2312" w:hAnsi="仿宋_GB2312" w:cs="仿宋_GB2312"/>
          <w:szCs w:val="32"/>
          <w:highlight w:val="none"/>
        </w:rPr>
        <w:t>最高15万元资助。对目录产品自取得软件著作权之日起一年内销售</w:t>
      </w:r>
      <w:r>
        <w:rPr>
          <w:rFonts w:hint="eastAsia" w:cs="仿宋_GB2312"/>
          <w:szCs w:val="32"/>
          <w:highlight w:val="none"/>
        </w:rPr>
        <w:t>收入</w:t>
      </w:r>
      <w:r>
        <w:rPr>
          <w:rFonts w:hint="eastAsia" w:ascii="仿宋_GB2312" w:hAnsi="仿宋_GB2312" w:cs="仿宋_GB2312"/>
          <w:szCs w:val="32"/>
          <w:highlight w:val="none"/>
        </w:rPr>
        <w:t>累计到账额不低于50万元的，按照不超过目录产品任意三</w:t>
      </w:r>
      <w:r>
        <w:rPr>
          <w:rFonts w:hint="eastAsia" w:cs="仿宋_GB2312"/>
          <w:szCs w:val="32"/>
          <w:highlight w:val="none"/>
        </w:rPr>
        <w:t>份</w:t>
      </w:r>
      <w:r>
        <w:rPr>
          <w:rFonts w:hint="eastAsia" w:ascii="仿宋_GB2312" w:hAnsi="仿宋_GB2312" w:cs="仿宋_GB2312"/>
          <w:szCs w:val="32"/>
          <w:highlight w:val="none"/>
        </w:rPr>
        <w:t>销售合同金额的30%，给予单个企业</w:t>
      </w:r>
      <w:r>
        <w:rPr>
          <w:rFonts w:hint="eastAsia" w:cs="仿宋_GB2312"/>
          <w:szCs w:val="32"/>
          <w:highlight w:val="none"/>
        </w:rPr>
        <w:t>每年</w:t>
      </w:r>
      <w:r>
        <w:rPr>
          <w:rFonts w:hint="eastAsia" w:ascii="仿宋_GB2312" w:hAnsi="仿宋_GB2312" w:cs="仿宋_GB2312"/>
          <w:szCs w:val="32"/>
          <w:highlight w:val="none"/>
        </w:rPr>
        <w:t>最高150万元资助。本条款执行资金总量控制。</w:t>
      </w:r>
    </w:p>
    <w:bookmarkEnd w:id="860"/>
    <w:bookmarkEnd w:id="878"/>
    <w:p>
      <w:pPr>
        <w:pStyle w:val="4"/>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1"/>
        <w:textAlignment w:val="auto"/>
        <w:rPr>
          <w:rFonts w:ascii="楷体_GB2312"/>
          <w:highlight w:val="none"/>
        </w:rPr>
      </w:pPr>
      <w:bookmarkStart w:id="879" w:name="_Toc15708"/>
      <w:bookmarkStart w:id="880" w:name="_Toc22314"/>
      <w:bookmarkStart w:id="881" w:name="_Toc11999"/>
      <w:bookmarkStart w:id="882" w:name="_Toc17561"/>
      <w:bookmarkStart w:id="883" w:name="_Toc603"/>
      <w:bookmarkStart w:id="884" w:name="_Toc95417951"/>
      <w:bookmarkStart w:id="885" w:name="_Toc23807"/>
      <w:bookmarkStart w:id="886" w:name="_Toc4751"/>
      <w:bookmarkStart w:id="887" w:name="_Toc18385"/>
      <w:bookmarkStart w:id="888" w:name="_Toc16055"/>
      <w:bookmarkStart w:id="889" w:name="_Toc10557"/>
      <w:bookmarkStart w:id="890" w:name="_Toc15747"/>
      <w:bookmarkStart w:id="891" w:name="_Toc95417786"/>
      <w:bookmarkStart w:id="892" w:name="_Toc15469"/>
      <w:bookmarkStart w:id="893" w:name="_Toc27392"/>
      <w:bookmarkStart w:id="894" w:name="_Toc17963"/>
      <w:bookmarkStart w:id="895" w:name="_Toc16041"/>
      <w:bookmarkStart w:id="896" w:name="_Toc2549"/>
      <w:bookmarkStart w:id="897" w:name="_Toc31584"/>
      <w:bookmarkStart w:id="898" w:name="_Toc1063"/>
      <w:r>
        <w:rPr>
          <w:rFonts w:hint="eastAsia" w:ascii="楷体_GB2312"/>
          <w:highlight w:val="none"/>
        </w:rPr>
        <w:t>（三）支持“</w:t>
      </w:r>
      <w:r>
        <w:rPr>
          <w:rFonts w:hint="eastAsia" w:ascii="仿宋_GB2312" w:hAnsi="仿宋_GB2312" w:cs="仿宋_GB2312"/>
          <w:highlight w:val="none"/>
        </w:rPr>
        <w:t>5</w:t>
      </w:r>
      <w:r>
        <w:rPr>
          <w:rFonts w:hint="eastAsia" w:ascii="楷体_GB2312"/>
          <w:highlight w:val="none"/>
        </w:rPr>
        <w:t>G+工业互联网”标杆示范项目</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firstLine="641"/>
        <w:textAlignment w:val="auto"/>
        <w:rPr>
          <w:rFonts w:hint="eastAsia" w:ascii="仿宋_GB2312" w:hAnsi="仿宋_GB2312" w:eastAsia="仿宋_GB2312" w:cs="仿宋_GB2312"/>
          <w:b w:val="0"/>
          <w:szCs w:val="32"/>
          <w:highlight w:val="none"/>
          <w:lang w:val="en-US" w:eastAsia="zh-CN"/>
        </w:rPr>
      </w:pPr>
      <w:r>
        <w:rPr>
          <w:rFonts w:hint="eastAsia" w:ascii="仿宋_GB2312" w:hAnsi="仿宋_GB2312" w:eastAsia="仿宋_GB2312" w:cs="仿宋_GB2312"/>
          <w:b w:val="0"/>
          <w:szCs w:val="32"/>
          <w:highlight w:val="none"/>
        </w:rPr>
        <w:t>面向园区和企业征集“5G+工业互联网”应用场景，鼓励符合条件的辖区解决方案供应商或其组成的联合体，针对应用场景开展标杆项目示范。对项目验收合格的，按照不超过经审计核定项目投入金额的50%，给予最高1亿元资助</w:t>
      </w:r>
      <w:r>
        <w:rPr>
          <w:rFonts w:hint="eastAsia" w:ascii="仿宋_GB2312" w:hAnsi="仿宋_GB2312" w:eastAsia="仿宋_GB2312" w:cs="仿宋_GB2312"/>
          <w:b w:val="0"/>
          <w:szCs w:val="32"/>
          <w:highlight w:val="none"/>
          <w:lang w:eastAsia="zh-CN"/>
        </w:rPr>
        <w:t>。</w:t>
      </w:r>
      <w:bookmarkStart w:id="899" w:name="_Toc4144"/>
      <w:bookmarkStart w:id="900" w:name="_Toc13453"/>
      <w:bookmarkStart w:id="901" w:name="_Toc32412"/>
      <w:bookmarkStart w:id="902" w:name="_Toc28930"/>
      <w:bookmarkStart w:id="903" w:name="_Toc5281"/>
      <w:bookmarkStart w:id="904" w:name="_Toc25885"/>
      <w:bookmarkStart w:id="905" w:name="_Toc2133"/>
      <w:bookmarkStart w:id="906" w:name="_Toc1260"/>
      <w:bookmarkStart w:id="907" w:name="_Toc31992"/>
      <w:bookmarkStart w:id="908" w:name="_Toc26713"/>
      <w:bookmarkStart w:id="909" w:name="_Toc10673"/>
      <w:bookmarkStart w:id="910" w:name="_Toc95417957"/>
      <w:bookmarkStart w:id="911" w:name="_Toc95417792"/>
      <w:bookmarkStart w:id="912" w:name="_Toc5394"/>
      <w:bookmarkStart w:id="913" w:name="_Toc30549"/>
      <w:bookmarkStart w:id="914" w:name="_Toc396"/>
      <w:bookmarkStart w:id="915" w:name="_Toc26107"/>
      <w:bookmarkStart w:id="916" w:name="_Toc26715"/>
      <w:bookmarkStart w:id="917" w:name="_Toc19942"/>
      <w:bookmarkStart w:id="918" w:name="_Toc542"/>
      <w:bookmarkStart w:id="919" w:name="_Toc11046"/>
      <w:r>
        <w:rPr>
          <w:rFonts w:hint="eastAsia" w:ascii="仿宋_GB2312" w:hAnsi="仿宋_GB2312" w:eastAsia="仿宋_GB2312" w:cs="仿宋_GB2312"/>
          <w:b w:val="0"/>
          <w:szCs w:val="32"/>
          <w:highlight w:val="none"/>
          <w:lang w:val="en-US" w:eastAsia="zh-CN"/>
        </w:rPr>
        <w:t xml:space="preserve">   </w:t>
      </w:r>
    </w:p>
    <w:bookmarkEnd w:id="899"/>
    <w:bookmarkEnd w:id="900"/>
    <w:bookmarkEnd w:id="901"/>
    <w:bookmarkEnd w:id="902"/>
    <w:bookmarkEnd w:id="903"/>
    <w:bookmarkEnd w:id="904"/>
    <w:bookmarkEnd w:id="905"/>
    <w:p>
      <w:pPr>
        <w:pStyle w:val="4"/>
        <w:keepNext w:val="0"/>
        <w:keepLines w:val="0"/>
        <w:pageBreakBefore w:val="0"/>
        <w:widowControl w:val="0"/>
        <w:numPr>
          <w:numId w:val="0"/>
        </w:numPr>
        <w:wordWrap/>
        <w:topLinePunct w:val="0"/>
        <w:bidi w:val="0"/>
        <w:spacing w:beforeAutospacing="0" w:afterAutospacing="0" w:line="560" w:lineRule="exact"/>
        <w:ind w:left="643" w:leftChars="0"/>
        <w:rPr>
          <w:rFonts w:hint="eastAsia" w:ascii="楷体_GB2312" w:hAnsi="楷体_GB2312" w:eastAsia="楷体_GB2312" w:cs="楷体_GB2312"/>
          <w:highlight w:val="none"/>
        </w:rPr>
      </w:pPr>
      <w:bookmarkStart w:id="920" w:name="_Toc13704"/>
      <w:bookmarkStart w:id="921" w:name="_Toc30595"/>
      <w:bookmarkStart w:id="922" w:name="_Toc20817"/>
      <w:bookmarkStart w:id="923" w:name="_Toc31507"/>
      <w:bookmarkStart w:id="924" w:name="_Toc23102"/>
      <w:bookmarkStart w:id="925" w:name="_Toc13104"/>
      <w:bookmarkStart w:id="926" w:name="_Toc19277"/>
      <w:r>
        <w:rPr>
          <w:rFonts w:hint="eastAsia" w:ascii="楷体_GB2312" w:hAnsi="楷体_GB2312" w:eastAsia="楷体_GB2312" w:cs="楷体_GB2312"/>
          <w:highlight w:val="none"/>
        </w:rPr>
        <w:t>第</w:t>
      </w:r>
      <w:r>
        <w:rPr>
          <w:rFonts w:hint="eastAsia" w:ascii="楷体_GB2312" w:hAnsi="楷体_GB2312" w:eastAsia="楷体_GB2312" w:cs="楷体_GB2312"/>
          <w:highlight w:val="none"/>
          <w:lang w:val="en-US" w:eastAsia="zh-CN"/>
        </w:rPr>
        <w:t>六</w:t>
      </w:r>
      <w:r>
        <w:rPr>
          <w:rFonts w:hint="eastAsia" w:ascii="楷体_GB2312" w:hAnsi="楷体_GB2312" w:eastAsia="楷体_GB2312" w:cs="楷体_GB2312"/>
          <w:highlight w:val="none"/>
        </w:rPr>
        <w:t xml:space="preserve">条 </w:t>
      </w:r>
      <w:r>
        <w:rPr>
          <w:rFonts w:hint="eastAsia" w:ascii="楷体_GB2312" w:hAnsi="楷体_GB2312" w:eastAsia="楷体_GB2312" w:cs="楷体_GB2312"/>
          <w:highlight w:val="none"/>
          <w:lang w:val="en-US" w:eastAsia="zh-CN"/>
        </w:rPr>
        <w:t xml:space="preserve"> </w:t>
      </w:r>
      <w:r>
        <w:rPr>
          <w:rFonts w:hint="eastAsia" w:ascii="楷体_GB2312" w:hAnsi="楷体_GB2312" w:eastAsia="楷体_GB2312" w:cs="楷体_GB2312"/>
          <w:highlight w:val="none"/>
        </w:rPr>
        <w:t>支持物流与供应链发展</w:t>
      </w:r>
    </w:p>
    <w:p>
      <w:pPr>
        <w:pStyle w:val="4"/>
        <w:keepNext w:val="0"/>
        <w:keepLines w:val="0"/>
        <w:pageBreakBefore w:val="0"/>
        <w:widowControl w:val="0"/>
        <w:numPr>
          <w:ilvl w:val="0"/>
          <w:numId w:val="0"/>
        </w:numPr>
        <w:wordWrap/>
        <w:topLinePunct w:val="0"/>
        <w:bidi w:val="0"/>
        <w:spacing w:beforeAutospacing="0" w:afterAutospacing="0" w:line="560" w:lineRule="exact"/>
        <w:ind w:left="0" w:leftChars="0" w:firstLine="643" w:firstLineChars="200"/>
        <w:rPr>
          <w:highlight w:val="none"/>
        </w:rPr>
      </w:pPr>
      <w:r>
        <w:rPr>
          <w:rFonts w:hint="eastAsia"/>
          <w:highlight w:val="none"/>
        </w:rPr>
        <w:t>（一）支持企业高端化发展</w:t>
      </w:r>
      <w:bookmarkEnd w:id="920"/>
      <w:bookmarkEnd w:id="921"/>
      <w:bookmarkEnd w:id="922"/>
      <w:bookmarkEnd w:id="923"/>
      <w:bookmarkEnd w:id="924"/>
      <w:bookmarkEnd w:id="925"/>
      <w:bookmarkEnd w:id="926"/>
    </w:p>
    <w:p>
      <w:pPr>
        <w:keepNext w:val="0"/>
        <w:keepLines w:val="0"/>
        <w:pageBreakBefore w:val="0"/>
        <w:widowControl w:val="0"/>
        <w:numPr>
          <w:ilvl w:val="255"/>
          <w:numId w:val="0"/>
        </w:numPr>
        <w:wordWrap/>
        <w:topLinePunct w:val="0"/>
        <w:bidi w:val="0"/>
        <w:spacing w:beforeAutospacing="0" w:afterAutospacing="0" w:line="560" w:lineRule="exact"/>
        <w:ind w:left="0" w:leftChars="0" w:firstLine="640" w:firstLineChars="200"/>
        <w:rPr>
          <w:rFonts w:ascii="仿宋_GB2312"/>
          <w:highlight w:val="none"/>
        </w:rPr>
      </w:pPr>
      <w:r>
        <w:rPr>
          <w:rFonts w:hint="eastAsia" w:ascii="仿宋_GB2312"/>
          <w:highlight w:val="none"/>
        </w:rPr>
        <w:t>鼓励物流供应链企业实施升级改造和信息化建设。对获得“深圳市重点物流企业”或“深圳市AAAAA级供应链管理服务企业”认定的企业，在南山区内开展仓库、园区等物流供应链基础设施投资、物流供应链装备的购置及升级改造、内部管理信息化及一体化综合服务平台等项目，按不超过项目实际投资额</w:t>
      </w:r>
      <w:r>
        <w:rPr>
          <w:rFonts w:hint="eastAsia"/>
          <w:highlight w:val="none"/>
        </w:rPr>
        <w:t>的</w:t>
      </w:r>
      <w:r>
        <w:rPr>
          <w:rFonts w:hint="eastAsia" w:ascii="仿宋_GB2312"/>
          <w:highlight w:val="none"/>
        </w:rPr>
        <w:t>15%给予一次性补贴；在南山区内租赁自用仓库的，按不超过项目实际支付租金的15%给予租金补贴。</w:t>
      </w:r>
      <w:r>
        <w:rPr>
          <w:rFonts w:hint="eastAsia"/>
          <w:highlight w:val="none"/>
        </w:rPr>
        <w:t>单个</w:t>
      </w:r>
      <w:r>
        <w:rPr>
          <w:rFonts w:hint="eastAsia" w:ascii="仿宋_GB2312"/>
          <w:highlight w:val="none"/>
        </w:rPr>
        <w:t>企业每年可申报一次，</w:t>
      </w:r>
      <w:r>
        <w:rPr>
          <w:rFonts w:hint="eastAsia"/>
          <w:highlight w:val="none"/>
        </w:rPr>
        <w:t>每年</w:t>
      </w:r>
      <w:r>
        <w:rPr>
          <w:rFonts w:hint="eastAsia" w:ascii="仿宋_GB2312"/>
          <w:highlight w:val="none"/>
        </w:rPr>
        <w:t>最高150万元。</w:t>
      </w:r>
    </w:p>
    <w:p>
      <w:pPr>
        <w:pStyle w:val="4"/>
        <w:keepNext w:val="0"/>
        <w:keepLines w:val="0"/>
        <w:pageBreakBefore w:val="0"/>
        <w:widowControl w:val="0"/>
        <w:wordWrap/>
        <w:topLinePunct w:val="0"/>
        <w:bidi w:val="0"/>
        <w:spacing w:beforeAutospacing="0" w:afterAutospacing="0" w:line="560" w:lineRule="exact"/>
        <w:ind w:left="0" w:leftChars="0" w:firstLine="643"/>
        <w:rPr>
          <w:highlight w:val="none"/>
        </w:rPr>
      </w:pPr>
      <w:bookmarkStart w:id="927" w:name="_Toc2445"/>
      <w:bookmarkStart w:id="928" w:name="_Toc11024"/>
      <w:bookmarkStart w:id="929" w:name="_Toc9987"/>
      <w:bookmarkStart w:id="930" w:name="_Toc32727"/>
      <w:bookmarkStart w:id="931" w:name="_Toc5279"/>
      <w:bookmarkStart w:id="932" w:name="_Toc15648"/>
      <w:bookmarkStart w:id="933" w:name="_Toc26939"/>
      <w:r>
        <w:rPr>
          <w:rFonts w:hint="eastAsia"/>
          <w:highlight w:val="none"/>
        </w:rPr>
        <w:t>（二）鼓励航运航线拓展</w:t>
      </w:r>
      <w:bookmarkEnd w:id="927"/>
      <w:bookmarkEnd w:id="928"/>
      <w:bookmarkEnd w:id="929"/>
      <w:bookmarkEnd w:id="930"/>
      <w:bookmarkEnd w:id="931"/>
      <w:bookmarkEnd w:id="932"/>
      <w:bookmarkEnd w:id="933"/>
    </w:p>
    <w:p>
      <w:pPr>
        <w:keepNext w:val="0"/>
        <w:keepLines w:val="0"/>
        <w:pageBreakBefore w:val="0"/>
        <w:widowControl w:val="0"/>
        <w:numPr>
          <w:ilvl w:val="255"/>
          <w:numId w:val="0"/>
        </w:numPr>
        <w:wordWrap/>
        <w:topLinePunct w:val="0"/>
        <w:bidi w:val="0"/>
        <w:spacing w:beforeAutospacing="0" w:afterAutospacing="0" w:line="560" w:lineRule="exact"/>
        <w:ind w:left="0" w:leftChars="0" w:firstLine="640" w:firstLineChars="200"/>
        <w:rPr>
          <w:rFonts w:ascii="仿宋_GB2312"/>
          <w:highlight w:val="none"/>
        </w:rPr>
      </w:pPr>
      <w:r>
        <w:rPr>
          <w:rFonts w:hint="eastAsia" w:ascii="仿宋_GB2312"/>
          <w:highlight w:val="none"/>
        </w:rPr>
        <w:t>鼓励码头增加业务量，吸引靠泊航线，增加集装箱吞吐量。对取得《港口经营许可证》的港口企业，按照每新增一条内贸航线或近洋航线靠泊且年度吞吐量达到五千标准箱的分档给予最高</w:t>
      </w:r>
      <w:r>
        <w:rPr>
          <w:rFonts w:hint="eastAsia" w:ascii="仿宋_GB2312" w:hAnsi="仿宋_GB2312" w:cs="仿宋_GB2312"/>
          <w:highlight w:val="none"/>
        </w:rPr>
        <w:t>50</w:t>
      </w:r>
      <w:r>
        <w:rPr>
          <w:rFonts w:hint="eastAsia" w:ascii="仿宋_GB2312"/>
          <w:highlight w:val="none"/>
        </w:rPr>
        <w:t>万元补贴；每新增一条远洋航线靠泊且年度吞吐量达到一万标准箱的分档给予最高</w:t>
      </w:r>
      <w:r>
        <w:rPr>
          <w:rFonts w:hint="eastAsia" w:ascii="仿宋_GB2312" w:hAnsi="仿宋_GB2312" w:cs="仿宋_GB2312"/>
          <w:highlight w:val="none"/>
        </w:rPr>
        <w:t>500</w:t>
      </w:r>
      <w:r>
        <w:rPr>
          <w:rFonts w:hint="eastAsia" w:ascii="仿宋_GB2312"/>
          <w:highlight w:val="none"/>
        </w:rPr>
        <w:t>万元补贴，每家企业每年最高</w:t>
      </w:r>
      <w:r>
        <w:rPr>
          <w:rFonts w:hint="eastAsia" w:ascii="仿宋_GB2312" w:hAnsi="仿宋_GB2312" w:cs="仿宋_GB2312"/>
          <w:highlight w:val="none"/>
        </w:rPr>
        <w:t>1000</w:t>
      </w:r>
      <w:r>
        <w:rPr>
          <w:rFonts w:hint="eastAsia" w:ascii="仿宋_GB2312"/>
          <w:highlight w:val="none"/>
        </w:rPr>
        <w:t>万元。</w:t>
      </w:r>
    </w:p>
    <w:p>
      <w:pPr>
        <w:pStyle w:val="4"/>
        <w:keepNext w:val="0"/>
        <w:keepLines w:val="0"/>
        <w:pageBreakBefore w:val="0"/>
        <w:widowControl w:val="0"/>
        <w:wordWrap/>
        <w:topLinePunct w:val="0"/>
        <w:bidi w:val="0"/>
        <w:spacing w:beforeAutospacing="0" w:afterAutospacing="0" w:line="560" w:lineRule="exact"/>
        <w:ind w:left="0" w:leftChars="0" w:firstLine="643"/>
        <w:rPr>
          <w:highlight w:val="none"/>
        </w:rPr>
      </w:pPr>
      <w:bookmarkStart w:id="934" w:name="_Toc12480"/>
      <w:bookmarkStart w:id="935" w:name="_Toc6446"/>
      <w:bookmarkStart w:id="936" w:name="_Toc26718"/>
      <w:bookmarkStart w:id="937" w:name="_Toc32012"/>
      <w:bookmarkStart w:id="938" w:name="_Toc17254"/>
      <w:bookmarkStart w:id="939" w:name="_Toc395"/>
      <w:bookmarkStart w:id="940" w:name="_Toc9665"/>
      <w:r>
        <w:rPr>
          <w:rFonts w:hint="eastAsia"/>
          <w:highlight w:val="none"/>
        </w:rPr>
        <w:t>（三）支持港口码头岸电设施建设</w:t>
      </w:r>
      <w:bookmarkEnd w:id="934"/>
      <w:bookmarkEnd w:id="935"/>
      <w:bookmarkEnd w:id="936"/>
      <w:bookmarkEnd w:id="937"/>
      <w:bookmarkEnd w:id="938"/>
      <w:bookmarkEnd w:id="939"/>
      <w:bookmarkEnd w:id="940"/>
    </w:p>
    <w:p>
      <w:pPr>
        <w:keepNext w:val="0"/>
        <w:keepLines w:val="0"/>
        <w:pageBreakBefore w:val="0"/>
        <w:widowControl w:val="0"/>
        <w:wordWrap/>
        <w:topLinePunct w:val="0"/>
        <w:bidi w:val="0"/>
        <w:spacing w:beforeAutospacing="0" w:afterAutospacing="0" w:line="560" w:lineRule="exact"/>
        <w:ind w:left="0" w:leftChars="0" w:firstLine="640"/>
        <w:rPr>
          <w:rFonts w:ascii="仿宋_GB2312"/>
          <w:highlight w:val="none"/>
        </w:rPr>
      </w:pPr>
      <w:r>
        <w:rPr>
          <w:rFonts w:hint="eastAsia" w:ascii="仿宋_GB2312"/>
          <w:highlight w:val="none"/>
        </w:rPr>
        <w:t>对获得深圳市交通运输局资助（补贴）的港口码头岸电设施建设项目，按照市级资助（补贴）金额</w:t>
      </w:r>
      <w:r>
        <w:rPr>
          <w:rFonts w:hint="eastAsia" w:ascii="仿宋_GB2312" w:hAnsi="仿宋_GB2312" w:cs="仿宋_GB2312"/>
          <w:highlight w:val="none"/>
        </w:rPr>
        <w:t>1</w:t>
      </w:r>
      <w:r>
        <w:rPr>
          <w:rFonts w:hint="eastAsia" w:ascii="仿宋_GB2312"/>
          <w:highlight w:val="none"/>
        </w:rPr>
        <w:t>:</w:t>
      </w:r>
      <w:r>
        <w:rPr>
          <w:rFonts w:hint="eastAsia" w:ascii="仿宋_GB2312" w:hAnsi="仿宋_GB2312" w:cs="仿宋_GB2312"/>
          <w:highlight w:val="none"/>
        </w:rPr>
        <w:t>1</w:t>
      </w:r>
      <w:r>
        <w:rPr>
          <w:rFonts w:hint="eastAsia" w:ascii="仿宋_GB2312"/>
          <w:highlight w:val="none"/>
        </w:rPr>
        <w:t>配套资助。</w:t>
      </w:r>
    </w:p>
    <w:p>
      <w:pPr>
        <w:pStyle w:val="4"/>
        <w:keepNext w:val="0"/>
        <w:keepLines w:val="0"/>
        <w:pageBreakBefore w:val="0"/>
        <w:widowControl w:val="0"/>
        <w:wordWrap/>
        <w:topLinePunct w:val="0"/>
        <w:bidi w:val="0"/>
        <w:spacing w:beforeAutospacing="0" w:afterAutospacing="0" w:line="560" w:lineRule="exact"/>
        <w:ind w:left="0" w:leftChars="0" w:firstLine="643"/>
        <w:rPr>
          <w:highlight w:val="none"/>
        </w:rPr>
      </w:pPr>
      <w:bookmarkStart w:id="941" w:name="_Toc4823"/>
      <w:bookmarkStart w:id="942" w:name="_Toc23397"/>
      <w:bookmarkStart w:id="943" w:name="_Toc32701"/>
      <w:bookmarkStart w:id="944" w:name="_Toc32285"/>
      <w:bookmarkStart w:id="945" w:name="_Toc6108"/>
      <w:bookmarkStart w:id="946" w:name="_Toc10740"/>
      <w:bookmarkStart w:id="947" w:name="_Toc27561"/>
      <w:r>
        <w:rPr>
          <w:rFonts w:hint="eastAsia"/>
          <w:highlight w:val="none"/>
        </w:rPr>
        <w:t>（四）支持农产品供给体系建设</w:t>
      </w:r>
      <w:bookmarkEnd w:id="941"/>
      <w:bookmarkEnd w:id="942"/>
      <w:bookmarkEnd w:id="943"/>
      <w:bookmarkEnd w:id="944"/>
      <w:bookmarkEnd w:id="945"/>
      <w:bookmarkEnd w:id="946"/>
      <w:bookmarkEnd w:id="947"/>
    </w:p>
    <w:p>
      <w:pPr>
        <w:keepNext w:val="0"/>
        <w:keepLines w:val="0"/>
        <w:pageBreakBefore w:val="0"/>
        <w:widowControl w:val="0"/>
        <w:numPr>
          <w:ilvl w:val="255"/>
          <w:numId w:val="0"/>
        </w:numPr>
        <w:wordWrap/>
        <w:topLinePunct w:val="0"/>
        <w:bidi w:val="0"/>
        <w:spacing w:beforeAutospacing="0" w:afterAutospacing="0" w:line="560" w:lineRule="exact"/>
        <w:ind w:left="0" w:leftChars="0" w:firstLine="640" w:firstLineChars="200"/>
        <w:rPr>
          <w:rFonts w:hint="eastAsia" w:ascii="Times New Roman" w:hAnsi="Times New Roman"/>
          <w:kern w:val="0"/>
          <w:szCs w:val="32"/>
          <w:highlight w:val="none"/>
        </w:rPr>
      </w:pPr>
      <w:r>
        <w:rPr>
          <w:rFonts w:hint="eastAsia" w:ascii="Times New Roman" w:hAnsi="Times New Roman"/>
          <w:kern w:val="0"/>
          <w:szCs w:val="32"/>
          <w:highlight w:val="none"/>
        </w:rPr>
        <w:t>对</w:t>
      </w:r>
      <w:r>
        <w:rPr>
          <w:rFonts w:ascii="Times New Roman" w:hAnsi="Times New Roman"/>
          <w:kern w:val="0"/>
          <w:szCs w:val="32"/>
          <w:highlight w:val="none"/>
        </w:rPr>
        <w:t>投资</w:t>
      </w:r>
      <w:r>
        <w:rPr>
          <w:rFonts w:hint="eastAsia" w:ascii="Times New Roman" w:hAnsi="Times New Roman"/>
          <w:kern w:val="0"/>
          <w:szCs w:val="32"/>
          <w:highlight w:val="none"/>
        </w:rPr>
        <w:t>建立</w:t>
      </w:r>
      <w:r>
        <w:rPr>
          <w:rFonts w:ascii="Times New Roman" w:hAnsi="Times New Roman"/>
          <w:kern w:val="0"/>
          <w:szCs w:val="32"/>
          <w:highlight w:val="none"/>
        </w:rPr>
        <w:t>农产品</w:t>
      </w:r>
      <w:r>
        <w:rPr>
          <w:rFonts w:hint="eastAsia" w:ascii="Times New Roman" w:hAnsi="Times New Roman"/>
          <w:kern w:val="0"/>
          <w:szCs w:val="32"/>
          <w:highlight w:val="none"/>
        </w:rPr>
        <w:t>生产基地、</w:t>
      </w:r>
      <w:r>
        <w:rPr>
          <w:rFonts w:ascii="Times New Roman" w:hAnsi="Times New Roman"/>
          <w:kern w:val="0"/>
          <w:szCs w:val="32"/>
          <w:highlight w:val="none"/>
        </w:rPr>
        <w:t>农产品</w:t>
      </w:r>
      <w:r>
        <w:rPr>
          <w:rFonts w:hint="eastAsia" w:ascii="Times New Roman" w:hAnsi="Times New Roman"/>
          <w:kern w:val="0"/>
          <w:szCs w:val="32"/>
          <w:highlight w:val="none"/>
        </w:rPr>
        <w:t>配送基地、</w:t>
      </w:r>
      <w:r>
        <w:rPr>
          <w:rFonts w:ascii="Times New Roman" w:hAnsi="Times New Roman"/>
          <w:kern w:val="0"/>
          <w:szCs w:val="32"/>
          <w:highlight w:val="none"/>
        </w:rPr>
        <w:t>农产品</w:t>
      </w:r>
      <w:r>
        <w:rPr>
          <w:rFonts w:hint="eastAsia" w:ascii="Times New Roman" w:hAnsi="Times New Roman"/>
          <w:kern w:val="0"/>
          <w:szCs w:val="32"/>
          <w:highlight w:val="none"/>
        </w:rPr>
        <w:t>预制菜</w:t>
      </w:r>
      <w:r>
        <w:rPr>
          <w:rFonts w:ascii="Times New Roman" w:hAnsi="Times New Roman"/>
          <w:kern w:val="0"/>
          <w:szCs w:val="32"/>
          <w:highlight w:val="none"/>
        </w:rPr>
        <w:t>冷链加工基地</w:t>
      </w:r>
      <w:r>
        <w:rPr>
          <w:rFonts w:hint="eastAsia" w:ascii="Times New Roman" w:hAnsi="Times New Roman"/>
          <w:kern w:val="0"/>
          <w:szCs w:val="32"/>
          <w:highlight w:val="none"/>
        </w:rPr>
        <w:t>的企业，按不超过项目上年度实际投资额的</w:t>
      </w:r>
      <w:r>
        <w:rPr>
          <w:rFonts w:hint="eastAsia" w:ascii="仿宋_GB2312" w:hAnsi="仿宋_GB2312" w:cs="仿宋_GB2312"/>
          <w:kern w:val="0"/>
          <w:szCs w:val="32"/>
          <w:highlight w:val="none"/>
        </w:rPr>
        <w:t>50</w:t>
      </w:r>
      <w:r>
        <w:rPr>
          <w:rFonts w:hint="eastAsia" w:ascii="Times New Roman" w:hAnsi="Times New Roman"/>
          <w:kern w:val="0"/>
          <w:szCs w:val="32"/>
          <w:highlight w:val="none"/>
        </w:rPr>
        <w:t>%给予一次性补贴，每家企业每年最高</w:t>
      </w:r>
      <w:r>
        <w:rPr>
          <w:rFonts w:ascii="仿宋_GB2312" w:hAnsi="仿宋_GB2312" w:cs="仿宋_GB2312"/>
          <w:kern w:val="0"/>
          <w:szCs w:val="32"/>
          <w:highlight w:val="none"/>
        </w:rPr>
        <w:t>3</w:t>
      </w:r>
      <w:r>
        <w:rPr>
          <w:rFonts w:hint="eastAsia" w:ascii="仿宋_GB2312" w:hAnsi="仿宋_GB2312" w:cs="仿宋_GB2312"/>
          <w:kern w:val="0"/>
          <w:szCs w:val="32"/>
          <w:highlight w:val="none"/>
        </w:rPr>
        <w:t>00</w:t>
      </w:r>
      <w:r>
        <w:rPr>
          <w:rFonts w:hint="eastAsia" w:ascii="Times New Roman" w:hAnsi="Times New Roman"/>
          <w:kern w:val="0"/>
          <w:szCs w:val="32"/>
          <w:highlight w:val="none"/>
        </w:rPr>
        <w:t>万元。其中，位于南山区对口地区的投资项目，每家企业每年最高</w:t>
      </w:r>
      <w:r>
        <w:rPr>
          <w:rFonts w:hint="eastAsia" w:ascii="仿宋_GB2312" w:hAnsi="仿宋_GB2312" w:cs="仿宋_GB2312"/>
          <w:kern w:val="0"/>
          <w:szCs w:val="32"/>
          <w:highlight w:val="none"/>
        </w:rPr>
        <w:t>500</w:t>
      </w:r>
      <w:r>
        <w:rPr>
          <w:rFonts w:hint="eastAsia" w:ascii="Times New Roman" w:hAnsi="Times New Roman"/>
          <w:kern w:val="0"/>
          <w:szCs w:val="32"/>
          <w:highlight w:val="none"/>
        </w:rPr>
        <w:t>万元。</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Start w:id="948" w:name="_Toc14595"/>
      <w:bookmarkStart w:id="949" w:name="_Toc13961"/>
      <w:bookmarkStart w:id="950" w:name="_Toc19913"/>
      <w:bookmarkStart w:id="951" w:name="_Toc10178"/>
      <w:bookmarkStart w:id="952" w:name="_Toc26967"/>
      <w:bookmarkStart w:id="953" w:name="_Toc18429"/>
      <w:bookmarkStart w:id="954" w:name="_Toc9941"/>
      <w:bookmarkStart w:id="955" w:name="_Toc25450"/>
      <w:bookmarkStart w:id="956" w:name="_Toc21975"/>
      <w:bookmarkStart w:id="957" w:name="_Toc24460"/>
      <w:bookmarkStart w:id="958" w:name="_Toc4517"/>
      <w:bookmarkStart w:id="959" w:name="_Toc12237"/>
      <w:bookmarkStart w:id="960" w:name="_Toc12713"/>
      <w:bookmarkStart w:id="961" w:name="_Toc11784"/>
      <w:bookmarkStart w:id="962" w:name="_Toc12447"/>
      <w:bookmarkStart w:id="963" w:name="_Toc3265"/>
      <w:bookmarkStart w:id="964" w:name="_Toc21059"/>
      <w:bookmarkStart w:id="965" w:name="_Toc30042"/>
      <w:bookmarkStart w:id="966" w:name="_Toc20885"/>
      <w:bookmarkStart w:id="967" w:name="_Toc19004"/>
      <w:bookmarkStart w:id="968" w:name="_Toc25423"/>
      <w:bookmarkStart w:id="969" w:name="_Toc27453"/>
      <w:bookmarkStart w:id="970" w:name="_Toc18320"/>
      <w:bookmarkStart w:id="971" w:name="_Toc23652"/>
      <w:bookmarkStart w:id="972" w:name="_Toc15563"/>
      <w:bookmarkStart w:id="973" w:name="_Toc1072"/>
      <w:bookmarkStart w:id="974" w:name="_Toc11047"/>
      <w:bookmarkStart w:id="975" w:name="_Toc26844"/>
      <w:bookmarkStart w:id="976" w:name="_Toc4203"/>
      <w:bookmarkStart w:id="977" w:name="_Toc95417958"/>
      <w:bookmarkStart w:id="978" w:name="_Toc3130"/>
      <w:bookmarkStart w:id="979" w:name="_Toc95417793"/>
      <w:bookmarkStart w:id="980" w:name="_Toc17196"/>
    </w:p>
    <w:p>
      <w:pPr>
        <w:keepNext w:val="0"/>
        <w:keepLines w:val="0"/>
        <w:pageBreakBefore w:val="0"/>
        <w:widowControl w:val="0"/>
        <w:numPr>
          <w:ilvl w:val="255"/>
          <w:numId w:val="0"/>
        </w:numPr>
        <w:wordWrap/>
        <w:topLinePunct w:val="0"/>
        <w:bidi w:val="0"/>
        <w:spacing w:beforeAutospacing="0" w:afterAutospacing="0" w:line="560" w:lineRule="exact"/>
        <w:ind w:left="0" w:leftChars="0" w:firstLine="643" w:firstLineChars="200"/>
        <w:rPr>
          <w:rFonts w:hint="eastAsia" w:ascii="楷体_GB2312" w:hAnsi="楷体_GB2312" w:eastAsia="楷体_GB2312" w:cs="楷体_GB2312"/>
          <w:b/>
          <w:kern w:val="2"/>
          <w:sz w:val="32"/>
          <w:szCs w:val="24"/>
          <w:highlight w:val="none"/>
          <w:lang w:val="en-US" w:eastAsia="zh-CN" w:bidi="ar-SA"/>
        </w:rPr>
      </w:pPr>
      <w:r>
        <w:rPr>
          <w:rFonts w:hint="eastAsia" w:ascii="楷体_GB2312" w:hAnsi="楷体_GB2312" w:eastAsia="楷体_GB2312" w:cs="楷体_GB2312"/>
          <w:b/>
          <w:kern w:val="2"/>
          <w:sz w:val="32"/>
          <w:szCs w:val="24"/>
          <w:highlight w:val="none"/>
          <w:lang w:val="en-US" w:eastAsia="zh-CN" w:bidi="ar-SA"/>
        </w:rPr>
        <w:t xml:space="preserve">第七条 </w:t>
      </w:r>
      <w:r>
        <w:rPr>
          <w:rFonts w:hint="eastAsia" w:ascii="Times New Roman" w:hAnsi="Times New Roman" w:eastAsia="楷体_GB2312"/>
          <w:kern w:val="0"/>
          <w:szCs w:val="32"/>
          <w:highlight w:val="none"/>
          <w:lang w:val="en-US" w:eastAsia="zh-CN"/>
        </w:rPr>
        <w:t xml:space="preserve"> </w:t>
      </w:r>
      <w:r>
        <w:rPr>
          <w:rFonts w:hint="eastAsia" w:ascii="楷体_GB2312" w:hAnsi="楷体_GB2312" w:eastAsia="楷体_GB2312" w:cs="楷体_GB2312"/>
          <w:b/>
          <w:kern w:val="2"/>
          <w:sz w:val="32"/>
          <w:szCs w:val="24"/>
          <w:highlight w:val="none"/>
          <w:lang w:val="en-US" w:eastAsia="zh-CN" w:bidi="ar-SA"/>
        </w:rPr>
        <w:t>支持特色服务业发展</w:t>
      </w:r>
      <w:bookmarkEnd w:id="948"/>
      <w:bookmarkEnd w:id="949"/>
      <w:bookmarkEnd w:id="950"/>
      <w:bookmarkEnd w:id="951"/>
      <w:bookmarkEnd w:id="952"/>
      <w:bookmarkEnd w:id="953"/>
    </w:p>
    <w:p>
      <w:pPr>
        <w:pStyle w:val="4"/>
        <w:keepNext w:val="0"/>
        <w:keepLines w:val="0"/>
        <w:pageBreakBefore w:val="0"/>
        <w:widowControl w:val="0"/>
        <w:numPr>
          <w:ilvl w:val="0"/>
          <w:numId w:val="0"/>
        </w:numPr>
        <w:wordWrap/>
        <w:topLinePunct w:val="0"/>
        <w:bidi w:val="0"/>
        <w:spacing w:beforeAutospacing="0" w:afterAutospacing="0" w:line="560" w:lineRule="exact"/>
        <w:ind w:left="0" w:leftChars="0" w:firstLine="643" w:firstLineChars="200"/>
        <w:rPr>
          <w:highlight w:val="none"/>
        </w:rPr>
      </w:pPr>
      <w:r>
        <w:rPr>
          <w:highlight w:val="none"/>
        </w:rPr>
        <w:fldChar w:fldCharType="begin"/>
      </w:r>
      <w:r>
        <w:rPr>
          <w:highlight w:val="none"/>
        </w:rPr>
        <w:instrText xml:space="preserve"> HYPERLINK \l "_Toc5434_WPSOffice_Level2" </w:instrText>
      </w:r>
      <w:r>
        <w:rPr>
          <w:highlight w:val="none"/>
        </w:rPr>
        <w:fldChar w:fldCharType="separate"/>
      </w:r>
      <w:r>
        <w:rPr>
          <w:highlight w:val="none"/>
        </w:rPr>
        <w:t>（一）</w:t>
      </w:r>
      <w:r>
        <w:rPr>
          <w:rFonts w:hint="eastAsia"/>
          <w:highlight w:val="none"/>
        </w:rPr>
        <w:t>支持工业设计</w:t>
      </w:r>
      <w:r>
        <w:rPr>
          <w:highlight w:val="none"/>
        </w:rPr>
        <w:fldChar w:fldCharType="end"/>
      </w:r>
      <w:bookmarkEnd w:id="954"/>
      <w:bookmarkEnd w:id="955"/>
      <w:bookmarkEnd w:id="956"/>
      <w:bookmarkEnd w:id="957"/>
      <w:r>
        <w:rPr>
          <w:rFonts w:hint="eastAsia"/>
          <w:highlight w:val="none"/>
        </w:rPr>
        <w:t>研究院认定</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bookmarkEnd w:id="975"/>
    <w:bookmarkEnd w:id="976"/>
    <w:bookmarkEnd w:id="977"/>
    <w:bookmarkEnd w:id="978"/>
    <w:bookmarkEnd w:id="979"/>
    <w:p>
      <w:pPr>
        <w:keepNext w:val="0"/>
        <w:keepLines w:val="0"/>
        <w:pageBreakBefore w:val="0"/>
        <w:widowControl w:val="0"/>
        <w:numPr>
          <w:ilvl w:val="255"/>
          <w:numId w:val="0"/>
        </w:numPr>
        <w:wordWrap/>
        <w:topLinePunct w:val="0"/>
        <w:bidi w:val="0"/>
        <w:spacing w:beforeAutospacing="0" w:afterAutospacing="0" w:line="560" w:lineRule="exact"/>
        <w:ind w:left="0" w:leftChars="0" w:firstLine="640" w:firstLineChars="200"/>
        <w:rPr>
          <w:highlight w:val="none"/>
        </w:rPr>
      </w:pPr>
      <w:bookmarkStart w:id="981" w:name="_Hlk95815885"/>
      <w:r>
        <w:rPr>
          <w:rFonts w:hint="eastAsia"/>
          <w:highlight w:val="none"/>
        </w:rPr>
        <w:t>对经认定的国家级、省级、市级工业设计研究院，按照自用办公用房实际租金投入，给予连续三年全额资助，每年分别最高500万元、200万元、100万元。</w:t>
      </w:r>
    </w:p>
    <w:p>
      <w:pPr>
        <w:pStyle w:val="4"/>
        <w:keepNext w:val="0"/>
        <w:keepLines w:val="0"/>
        <w:pageBreakBefore w:val="0"/>
        <w:widowControl w:val="0"/>
        <w:wordWrap/>
        <w:topLinePunct w:val="0"/>
        <w:bidi w:val="0"/>
        <w:spacing w:beforeAutospacing="0" w:afterAutospacing="0" w:line="560" w:lineRule="exact"/>
        <w:ind w:left="0" w:leftChars="0" w:firstLine="643"/>
        <w:rPr>
          <w:highlight w:val="none"/>
        </w:rPr>
      </w:pPr>
      <w:bookmarkStart w:id="982" w:name="_Toc29280"/>
      <w:bookmarkStart w:id="983" w:name="_Toc1771"/>
      <w:bookmarkStart w:id="984" w:name="_Toc27065"/>
      <w:bookmarkStart w:id="985" w:name="_Toc14172"/>
      <w:bookmarkStart w:id="986" w:name="_Toc30430"/>
      <w:bookmarkStart w:id="987" w:name="_Toc27783"/>
      <w:bookmarkStart w:id="988" w:name="_Toc25691"/>
      <w:bookmarkStart w:id="989" w:name="_Toc31655"/>
      <w:bookmarkStart w:id="990" w:name="_Toc17234"/>
      <w:bookmarkStart w:id="991" w:name="_Toc25286"/>
      <w:bookmarkStart w:id="992" w:name="_Toc2021"/>
      <w:bookmarkStart w:id="993" w:name="_Toc21477"/>
      <w:bookmarkStart w:id="994" w:name="_Toc27679"/>
      <w:bookmarkStart w:id="995" w:name="_Toc17020"/>
      <w:bookmarkStart w:id="996" w:name="_Toc1368"/>
      <w:bookmarkStart w:id="997" w:name="_Toc6994"/>
      <w:bookmarkStart w:id="998" w:name="_Toc17358"/>
      <w:r>
        <w:rPr>
          <w:highlight w:val="none"/>
        </w:rPr>
        <w:t>（二）支持工业设计成果转化</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bookmarkEnd w:id="981"/>
    <w:p>
      <w:pPr>
        <w:keepNext w:val="0"/>
        <w:keepLines w:val="0"/>
        <w:pageBreakBefore w:val="0"/>
        <w:widowControl w:val="0"/>
        <w:numPr>
          <w:ilvl w:val="255"/>
          <w:numId w:val="0"/>
        </w:numPr>
        <w:wordWrap/>
        <w:topLinePunct w:val="0"/>
        <w:bidi w:val="0"/>
        <w:spacing w:beforeAutospacing="0" w:afterAutospacing="0" w:line="560" w:lineRule="exact"/>
        <w:ind w:left="0" w:leftChars="0" w:firstLine="640" w:firstLineChars="200"/>
        <w:rPr>
          <w:rFonts w:ascii="仿宋_GB2312"/>
          <w:highlight w:val="none"/>
        </w:rPr>
      </w:pPr>
      <w:r>
        <w:rPr>
          <w:rFonts w:hint="eastAsia" w:ascii="仿宋_GB2312"/>
          <w:highlight w:val="none"/>
        </w:rPr>
        <w:t>推进工业设计成果转化和产业化。对与辖区工业设计企业开展项目合作的辖区规模以上企业，项目合同达到一定金额要求的，按照不超过项目合同总额的</w:t>
      </w:r>
      <w:r>
        <w:rPr>
          <w:rFonts w:hint="eastAsia" w:ascii="仿宋_GB2312" w:hAnsi="仿宋_GB2312" w:cs="仿宋_GB2312"/>
          <w:highlight w:val="none"/>
        </w:rPr>
        <w:t>30</w:t>
      </w:r>
      <w:r>
        <w:rPr>
          <w:rFonts w:hint="eastAsia" w:ascii="仿宋_GB2312"/>
          <w:highlight w:val="none"/>
        </w:rPr>
        <w:t>%，给予单个企业每年最高</w:t>
      </w:r>
      <w:r>
        <w:rPr>
          <w:rFonts w:hint="eastAsia" w:ascii="仿宋_GB2312" w:hAnsi="仿宋_GB2312" w:cs="仿宋_GB2312"/>
          <w:highlight w:val="none"/>
        </w:rPr>
        <w:t>100</w:t>
      </w:r>
      <w:r>
        <w:rPr>
          <w:rFonts w:hint="eastAsia" w:ascii="仿宋_GB2312"/>
          <w:highlight w:val="none"/>
        </w:rPr>
        <w:t>万元资助。</w:t>
      </w:r>
    </w:p>
    <w:p>
      <w:pPr>
        <w:pStyle w:val="4"/>
        <w:keepNext w:val="0"/>
        <w:keepLines w:val="0"/>
        <w:pageBreakBefore w:val="0"/>
        <w:widowControl w:val="0"/>
        <w:wordWrap/>
        <w:topLinePunct w:val="0"/>
        <w:bidi w:val="0"/>
        <w:spacing w:beforeAutospacing="0" w:afterAutospacing="0" w:line="560" w:lineRule="exact"/>
        <w:ind w:left="0" w:leftChars="0" w:firstLine="643"/>
        <w:rPr>
          <w:highlight w:val="none"/>
        </w:rPr>
      </w:pPr>
      <w:bookmarkStart w:id="999" w:name="_Toc23625"/>
      <w:bookmarkStart w:id="1000" w:name="_Toc26628"/>
      <w:bookmarkStart w:id="1001" w:name="_Toc25479"/>
      <w:bookmarkStart w:id="1002" w:name="_Toc22962"/>
      <w:bookmarkStart w:id="1003" w:name="_Toc8364"/>
      <w:bookmarkStart w:id="1004" w:name="_Toc22776"/>
      <w:bookmarkStart w:id="1005" w:name="_Toc6021"/>
      <w:bookmarkStart w:id="1006" w:name="_Toc95417794"/>
      <w:bookmarkStart w:id="1007" w:name="_Toc1026"/>
      <w:bookmarkStart w:id="1008" w:name="_Toc9224"/>
      <w:bookmarkStart w:id="1009" w:name="_Toc1289"/>
      <w:bookmarkStart w:id="1010" w:name="_Toc24916"/>
      <w:bookmarkStart w:id="1011" w:name="_Toc95417959"/>
      <w:bookmarkStart w:id="1012" w:name="_Toc30327"/>
      <w:bookmarkStart w:id="1013" w:name="_Toc5075"/>
      <w:bookmarkStart w:id="1014" w:name="_Toc9950"/>
      <w:bookmarkStart w:id="1015" w:name="_Toc28016"/>
      <w:bookmarkStart w:id="1016" w:name="_Toc7134"/>
      <w:bookmarkStart w:id="1017" w:name="_Toc26877"/>
      <w:bookmarkStart w:id="1018" w:name="_Toc6347"/>
      <w:bookmarkStart w:id="1019" w:name="_Toc4426"/>
      <w:r>
        <w:rPr>
          <w:rFonts w:hint="eastAsia"/>
          <w:highlight w:val="none"/>
        </w:rPr>
        <w:t>（三）</w:t>
      </w:r>
      <w:r>
        <w:rPr>
          <w:rFonts w:hint="default" w:ascii="Calibri"/>
          <w:highlight w:val="none"/>
        </w:rPr>
        <w:t>支持专业服务业集聚</w:t>
      </w:r>
      <w:bookmarkEnd w:id="980"/>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textAlignment w:val="auto"/>
        <w:rPr>
          <w:highlight w:val="none"/>
        </w:rPr>
      </w:pPr>
      <w:r>
        <w:rPr>
          <w:rFonts w:hint="eastAsia"/>
          <w:highlight w:val="none"/>
        </w:rPr>
        <w:t>支持专业服务业在我区特别是在前海集聚发展。对符合条件的南山专业服务业企业或机构，上年度综合贡献增长率超过10%的，按照不超过其上年度综合贡献增长额，给予单个企业或机构每年最高300万元奖励。</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textAlignment w:val="auto"/>
        <w:rPr>
          <w:highlight w:val="none"/>
        </w:rPr>
      </w:pPr>
      <w:bookmarkStart w:id="1020" w:name="_Toc28308"/>
      <w:bookmarkStart w:id="1021" w:name="_Toc889"/>
      <w:bookmarkStart w:id="1022" w:name="_Toc2900"/>
      <w:bookmarkStart w:id="1023" w:name="_Toc16038"/>
      <w:bookmarkStart w:id="1024" w:name="_Toc29572"/>
      <w:bookmarkStart w:id="1025" w:name="_Toc8395"/>
      <w:bookmarkStart w:id="1026" w:name="_Toc32544"/>
      <w:bookmarkStart w:id="1027" w:name="_Toc17122"/>
      <w:bookmarkStart w:id="1028" w:name="_Toc17386"/>
      <w:bookmarkStart w:id="1029" w:name="_Toc19727"/>
      <w:bookmarkStart w:id="1030" w:name="_Toc8692"/>
      <w:bookmarkStart w:id="1031" w:name="_Toc26541"/>
      <w:bookmarkStart w:id="1032" w:name="_Toc8541"/>
      <w:bookmarkStart w:id="1033" w:name="_Toc95417960"/>
      <w:bookmarkStart w:id="1034" w:name="_Toc25347"/>
      <w:bookmarkStart w:id="1035" w:name="_Toc12805"/>
      <w:bookmarkStart w:id="1036" w:name="_Toc3137"/>
      <w:bookmarkStart w:id="1037" w:name="_Toc3562"/>
      <w:bookmarkStart w:id="1038" w:name="_Toc7695"/>
      <w:bookmarkStart w:id="1039" w:name="_Toc95417795"/>
      <w:bookmarkStart w:id="1040" w:name="_Toc2615"/>
      <w:r>
        <w:rPr>
          <w:rFonts w:hint="eastAsia"/>
          <w:highlight w:val="none"/>
        </w:rPr>
        <w:t>（四）推进人力资源服务</w:t>
      </w:r>
      <w:bookmarkEnd w:id="1020"/>
      <w:r>
        <w:rPr>
          <w:rFonts w:hint="eastAsia"/>
          <w:highlight w:val="none"/>
        </w:rPr>
        <w:t>集聚发展</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pStyle w:val="4"/>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textAlignment w:val="auto"/>
        <w:rPr>
          <w:rFonts w:hint="eastAsia"/>
          <w:highlight w:val="none"/>
        </w:rPr>
      </w:pPr>
      <w:r>
        <w:rPr>
          <w:rFonts w:hint="eastAsia" w:ascii="仿宋_GB2312" w:hAnsi="仿宋_GB2312" w:eastAsia="仿宋_GB2312" w:cs="仿宋_GB2312"/>
          <w:b w:val="0"/>
          <w:bCs w:val="0"/>
          <w:color w:val="auto"/>
          <w:kern w:val="2"/>
          <w:sz w:val="32"/>
          <w:szCs w:val="32"/>
          <w:highlight w:val="none"/>
          <w:lang w:val="en-US" w:eastAsia="zh-CN" w:bidi="ar-SA"/>
        </w:rPr>
        <w:t>鼓励拥有核心产品、成长性好、竞争力强、全球性或国内知名的人才服务机构入驻区人力资源服务产业园。对经核准的入驻机构，在第一年和第二年每年按实际支付租金的70%给予最高100万元租金补贴，在第三年、第四年和第五年每年按实际支付租金的50%给予最高70万元租金补贴。</w:t>
      </w:r>
      <w:bookmarkStart w:id="1041" w:name="_Toc31997"/>
      <w:bookmarkStart w:id="1042" w:name="_Toc9862"/>
      <w:bookmarkStart w:id="1043" w:name="_Toc4375"/>
      <w:bookmarkStart w:id="1044" w:name="_Toc21282"/>
      <w:bookmarkStart w:id="1045" w:name="_Toc25828"/>
      <w:bookmarkStart w:id="1046" w:name="_Toc21269"/>
      <w:bookmarkStart w:id="1047" w:name="_Toc9015"/>
      <w:bookmarkStart w:id="1048" w:name="_Toc95417796"/>
      <w:bookmarkStart w:id="1049" w:name="_Toc193"/>
      <w:bookmarkStart w:id="1050" w:name="_Toc17881"/>
      <w:bookmarkStart w:id="1051" w:name="_Toc2585"/>
      <w:bookmarkStart w:id="1052" w:name="_Toc24058"/>
      <w:bookmarkStart w:id="1053" w:name="_Toc22203"/>
      <w:bookmarkStart w:id="1054" w:name="_Toc8304"/>
      <w:bookmarkStart w:id="1055" w:name="_Toc1225"/>
      <w:bookmarkStart w:id="1056" w:name="_Toc20800"/>
      <w:bookmarkStart w:id="1057" w:name="_Toc7172"/>
      <w:bookmarkStart w:id="1058" w:name="_Toc95417961"/>
      <w:bookmarkStart w:id="1059" w:name="_Toc22226"/>
      <w:bookmarkStart w:id="1060" w:name="_Toc13144"/>
    </w:p>
    <w:p>
      <w:pPr>
        <w:pStyle w:val="4"/>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textAlignment w:val="auto"/>
        <w:rPr>
          <w:highlight w:val="none"/>
        </w:rPr>
      </w:pPr>
      <w:bookmarkStart w:id="1061" w:name="_Toc31556"/>
      <w:r>
        <w:rPr>
          <w:rFonts w:hint="eastAsia"/>
          <w:highlight w:val="none"/>
        </w:rPr>
        <w:t>（五）</w:t>
      </w:r>
      <w:bookmarkEnd w:id="1041"/>
      <w:r>
        <w:rPr>
          <w:rFonts w:hint="eastAsia"/>
          <w:highlight w:val="none"/>
        </w:rPr>
        <w:t>支持服务贸易企业与基地发展</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keepNext w:val="0"/>
        <w:keepLines w:val="0"/>
        <w:pageBreakBefore w:val="0"/>
        <w:widowControl w:val="0"/>
        <w:numPr>
          <w:ilvl w:val="255"/>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仿宋_GB2312"/>
          <w:highlight w:val="none"/>
        </w:rPr>
      </w:pPr>
      <w:r>
        <w:rPr>
          <w:rFonts w:hint="eastAsia" w:ascii="仿宋_GB2312"/>
          <w:highlight w:val="none"/>
        </w:rPr>
        <w:t>鼓励服务贸易企业在商务部业务系统统一平台中报送统计数据，对上年度离岸执行额不低于（含）</w:t>
      </w:r>
      <w:r>
        <w:rPr>
          <w:rFonts w:hint="eastAsia" w:ascii="仿宋_GB2312" w:hAnsi="仿宋_GB2312" w:cs="仿宋_GB2312"/>
          <w:highlight w:val="none"/>
        </w:rPr>
        <w:t>1000</w:t>
      </w:r>
      <w:r>
        <w:rPr>
          <w:rFonts w:hint="eastAsia" w:ascii="仿宋_GB2312"/>
          <w:highlight w:val="none"/>
        </w:rPr>
        <w:t>万美元的规上企业，根据上年度离岸执行额、增长率，按照上年度离岸执行增加额的一定比例分档给予支持，单个企业每年最高</w:t>
      </w:r>
      <w:r>
        <w:rPr>
          <w:rFonts w:hint="eastAsia" w:ascii="仿宋_GB2312" w:hAnsi="仿宋_GB2312" w:cs="仿宋_GB2312"/>
          <w:highlight w:val="none"/>
        </w:rPr>
        <w:t>100</w:t>
      </w:r>
      <w:r>
        <w:rPr>
          <w:rFonts w:hint="eastAsia" w:ascii="仿宋_GB2312"/>
          <w:highlight w:val="none"/>
        </w:rPr>
        <w:t>万元。对获评国家、省级服务贸易出口基地的单位，给予</w:t>
      </w:r>
      <w:r>
        <w:rPr>
          <w:rFonts w:hint="eastAsia" w:ascii="仿宋_GB2312" w:hAnsi="仿宋_GB2312" w:cs="仿宋_GB2312"/>
          <w:highlight w:val="none"/>
        </w:rPr>
        <w:t>100</w:t>
      </w:r>
      <w:r>
        <w:rPr>
          <w:rFonts w:hint="eastAsia" w:ascii="仿宋_GB2312"/>
          <w:highlight w:val="none"/>
        </w:rPr>
        <w:t>万元、</w:t>
      </w:r>
      <w:r>
        <w:rPr>
          <w:rFonts w:hint="eastAsia" w:ascii="仿宋_GB2312" w:hAnsi="仿宋_GB2312" w:cs="仿宋_GB2312"/>
          <w:highlight w:val="none"/>
        </w:rPr>
        <w:t>50</w:t>
      </w:r>
      <w:r>
        <w:rPr>
          <w:rFonts w:hint="eastAsia" w:ascii="仿宋_GB2312"/>
          <w:highlight w:val="none"/>
        </w:rPr>
        <w:t>万元一次性资助。</w:t>
      </w:r>
    </w:p>
    <w:p>
      <w:pPr>
        <w:keepNext w:val="0"/>
        <w:keepLines w:val="0"/>
        <w:pageBreakBefore w:val="0"/>
        <w:widowControl w:val="0"/>
        <w:wordWrap/>
        <w:topLinePunct w:val="0"/>
        <w:bidi w:val="0"/>
        <w:spacing w:beforeAutospacing="0" w:afterAutospacing="0" w:line="560" w:lineRule="exact"/>
        <w:ind w:left="0" w:leftChars="0" w:firstLine="643" w:firstLineChars="200"/>
        <w:rPr>
          <w:rFonts w:hint="eastAsia" w:ascii="楷体_GB2312" w:hAnsi="楷体_GB2312" w:eastAsia="楷体_GB2312" w:cs="楷体_GB2312"/>
          <w:b/>
          <w:kern w:val="2"/>
          <w:sz w:val="32"/>
          <w:szCs w:val="24"/>
          <w:highlight w:val="none"/>
          <w:lang w:val="en-US" w:eastAsia="zh-CN" w:bidi="ar-SA"/>
        </w:rPr>
      </w:pPr>
      <w:bookmarkStart w:id="1062" w:name="_Toc26119"/>
      <w:bookmarkStart w:id="1063" w:name="_Toc27840"/>
      <w:bookmarkStart w:id="1064" w:name="_Toc9901"/>
      <w:bookmarkStart w:id="1065" w:name="_Toc5094"/>
      <w:bookmarkStart w:id="1066" w:name="_Toc21841"/>
      <w:bookmarkStart w:id="1067" w:name="_Toc20845"/>
      <w:bookmarkStart w:id="1068" w:name="_Toc29242"/>
      <w:r>
        <w:rPr>
          <w:rFonts w:hint="eastAsia" w:ascii="楷体_GB2312" w:hAnsi="楷体_GB2312" w:eastAsia="楷体_GB2312" w:cs="楷体_GB2312"/>
          <w:b/>
          <w:kern w:val="2"/>
          <w:sz w:val="32"/>
          <w:szCs w:val="24"/>
          <w:highlight w:val="none"/>
          <w:lang w:val="en-US" w:eastAsia="zh-CN" w:bidi="ar-SA"/>
        </w:rPr>
        <w:t>第八条  鼓励专业服务业企业纳统入库</w:t>
      </w:r>
      <w:bookmarkEnd w:id="1062"/>
      <w:bookmarkEnd w:id="1063"/>
      <w:bookmarkEnd w:id="1064"/>
      <w:bookmarkEnd w:id="1065"/>
      <w:bookmarkEnd w:id="1066"/>
      <w:bookmarkEnd w:id="1067"/>
      <w:bookmarkEnd w:id="1068"/>
    </w:p>
    <w:p>
      <w:pPr>
        <w:keepNext w:val="0"/>
        <w:keepLines w:val="0"/>
        <w:pageBreakBefore w:val="0"/>
        <w:widowControl w:val="0"/>
        <w:wordWrap/>
        <w:topLinePunct w:val="0"/>
        <w:bidi w:val="0"/>
        <w:spacing w:beforeAutospacing="0" w:afterAutospacing="0" w:line="560" w:lineRule="exact"/>
        <w:ind w:left="0" w:leftChars="0" w:firstLine="640" w:firstLineChars="200"/>
        <w:rPr>
          <w:highlight w:val="none"/>
        </w:rPr>
      </w:pPr>
      <w:r>
        <w:rPr>
          <w:highlight w:val="none"/>
        </w:rPr>
        <w:t>对首次纳入区“四上”统计库的</w:t>
      </w:r>
      <w:r>
        <w:rPr>
          <w:rFonts w:hint="eastAsia"/>
          <w:highlight w:val="none"/>
        </w:rPr>
        <w:t>规上</w:t>
      </w:r>
      <w:r>
        <w:rPr>
          <w:highlight w:val="none"/>
        </w:rPr>
        <w:t>专业服务业重点行业</w:t>
      </w:r>
      <w:r>
        <w:rPr>
          <w:rFonts w:hint="eastAsia"/>
          <w:highlight w:val="none"/>
        </w:rPr>
        <w:t>单位</w:t>
      </w:r>
      <w:r>
        <w:rPr>
          <w:highlight w:val="none"/>
        </w:rPr>
        <w:t>，入库后</w:t>
      </w:r>
      <w:r>
        <w:rPr>
          <w:rFonts w:hint="eastAsia"/>
          <w:highlight w:val="none"/>
        </w:rPr>
        <w:t>稳定完成次年全年报表且实现营收正增长的</w:t>
      </w:r>
      <w:r>
        <w:rPr>
          <w:highlight w:val="none"/>
        </w:rPr>
        <w:t>，给予</w:t>
      </w:r>
      <w:r>
        <w:rPr>
          <w:rFonts w:hint="eastAsia" w:ascii="仿宋_GB2312" w:hAnsi="仿宋_GB2312" w:cs="仿宋_GB2312"/>
          <w:szCs w:val="32"/>
          <w:highlight w:val="none"/>
        </w:rPr>
        <w:t>10</w:t>
      </w:r>
      <w:r>
        <w:rPr>
          <w:highlight w:val="none"/>
        </w:rPr>
        <w:t>万元奖励。</w:t>
      </w:r>
    </w:p>
    <w:p>
      <w:pPr>
        <w:keepNext w:val="0"/>
        <w:keepLines w:val="0"/>
        <w:pageBreakBefore w:val="0"/>
        <w:widowControl w:val="0"/>
        <w:wordWrap/>
        <w:topLinePunct w:val="0"/>
        <w:bidi w:val="0"/>
        <w:spacing w:beforeAutospacing="0" w:afterAutospacing="0" w:line="560" w:lineRule="exact"/>
        <w:ind w:left="0" w:leftChars="0" w:firstLine="643" w:firstLineChars="200"/>
        <w:rPr>
          <w:rFonts w:hint="eastAsia" w:ascii="楷体_GB2312" w:hAnsi="楷体_GB2312" w:eastAsia="楷体_GB2312" w:cs="楷体_GB2312"/>
          <w:b/>
          <w:kern w:val="2"/>
          <w:sz w:val="32"/>
          <w:szCs w:val="24"/>
          <w:highlight w:val="none"/>
          <w:lang w:val="en-US" w:eastAsia="zh-CN" w:bidi="ar-SA"/>
        </w:rPr>
      </w:pPr>
      <w:r>
        <w:rPr>
          <w:rFonts w:hint="eastAsia" w:ascii="楷体_GB2312" w:hAnsi="楷体_GB2312" w:eastAsia="楷体_GB2312" w:cs="楷体_GB2312"/>
          <w:b/>
          <w:kern w:val="2"/>
          <w:sz w:val="32"/>
          <w:szCs w:val="24"/>
          <w:highlight w:val="none"/>
          <w:lang w:val="en-US" w:eastAsia="zh-CN" w:bidi="ar-SA"/>
        </w:rPr>
        <w:t>第九条  鼓励营利性服务业企业做大做强</w:t>
      </w:r>
    </w:p>
    <w:p>
      <w:pPr>
        <w:keepNext w:val="0"/>
        <w:keepLines w:val="0"/>
        <w:pageBreakBefore w:val="0"/>
        <w:widowControl w:val="0"/>
        <w:numPr>
          <w:ilvl w:val="0"/>
          <w:numId w:val="0"/>
        </w:numPr>
        <w:wordWrap/>
        <w:topLinePunct w:val="0"/>
        <w:bidi w:val="0"/>
        <w:spacing w:beforeAutospacing="0" w:afterAutospacing="0" w:line="560" w:lineRule="exact"/>
        <w:ind w:left="0" w:leftChars="0" w:firstLine="640" w:firstLineChars="200"/>
        <w:rPr>
          <w:rFonts w:hint="eastAsia"/>
          <w:highlight w:val="none"/>
          <w:lang w:eastAsia="zh-CN"/>
        </w:rPr>
      </w:pPr>
      <w:r>
        <w:rPr>
          <w:rFonts w:hint="eastAsia"/>
          <w:highlight w:val="none"/>
        </w:rPr>
        <w:t>自202</w:t>
      </w:r>
      <w:r>
        <w:rPr>
          <w:rFonts w:hint="eastAsia"/>
          <w:highlight w:val="none"/>
          <w:lang w:val="en-US" w:eastAsia="zh-CN"/>
        </w:rPr>
        <w:t>4</w:t>
      </w:r>
      <w:r>
        <w:rPr>
          <w:rFonts w:hint="eastAsia"/>
          <w:highlight w:val="none"/>
        </w:rPr>
        <w:t>年起，对上年度快报营业收入达到1亿元以上且达到一定增速、年报增加值大于零的营利性服务业企业，按照不超过年报增加值增量的2%给予资助，每家企业每年资助上限根据企业年报增加值规模分档设定，最高1亿元</w:t>
      </w:r>
      <w:r>
        <w:rPr>
          <w:rFonts w:hint="eastAsia"/>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textAlignment w:val="auto"/>
        <w:rPr>
          <w:rFonts w:hint="eastAsia"/>
          <w:highlight w:val="none"/>
        </w:rPr>
      </w:pPr>
      <w:bookmarkStart w:id="1069" w:name="_Toc14377"/>
      <w:bookmarkStart w:id="1070" w:name="_Toc25390"/>
      <w:bookmarkStart w:id="1071" w:name="_Toc23004"/>
      <w:bookmarkStart w:id="1072" w:name="_Toc10407"/>
      <w:bookmarkStart w:id="1073" w:name="_Toc15285"/>
      <w:bookmarkStart w:id="1074" w:name="_Toc7791"/>
      <w:bookmarkStart w:id="1075" w:name="_Toc26630"/>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textAlignment w:val="auto"/>
        <w:rPr>
          <w:rFonts w:hint="eastAsia"/>
          <w:highlight w:val="none"/>
        </w:rPr>
      </w:pPr>
      <w:r>
        <w:rPr>
          <w:rFonts w:hint="eastAsia"/>
          <w:highlight w:val="none"/>
        </w:rPr>
        <w:t>第</w:t>
      </w:r>
      <w:r>
        <w:rPr>
          <w:rFonts w:hint="eastAsia"/>
          <w:highlight w:val="none"/>
          <w:lang w:val="en-US" w:eastAsia="zh-CN"/>
        </w:rPr>
        <w:t>三</w:t>
      </w:r>
      <w:r>
        <w:rPr>
          <w:rFonts w:hint="eastAsia"/>
          <w:highlight w:val="none"/>
        </w:rPr>
        <w:t xml:space="preserve">章  </w:t>
      </w:r>
      <w:r>
        <w:rPr>
          <w:rFonts w:hint="eastAsia"/>
          <w:highlight w:val="none"/>
          <w:lang w:val="en-US" w:eastAsia="zh-CN"/>
        </w:rPr>
        <w:t>附</w:t>
      </w:r>
      <w:r>
        <w:rPr>
          <w:rFonts w:hint="eastAsia"/>
          <w:highlight w:val="none"/>
        </w:rPr>
        <w:t xml:space="preserve">  则</w:t>
      </w:r>
      <w:bookmarkEnd w:id="1069"/>
      <w:bookmarkEnd w:id="1070"/>
    </w:p>
    <w:bookmarkEnd w:id="1071"/>
    <w:bookmarkEnd w:id="1072"/>
    <w:bookmarkEnd w:id="1073"/>
    <w:bookmarkEnd w:id="1074"/>
    <w:bookmarkEnd w:id="1075"/>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textAlignment w:val="auto"/>
        <w:rPr>
          <w:rFonts w:hint="eastAsia" w:ascii="Arial" w:hAnsi="Arial" w:eastAsia="楷体_GB2312"/>
          <w:b/>
          <w:bCs w:val="0"/>
          <w:highlight w:val="none"/>
        </w:rPr>
      </w:pPr>
    </w:p>
    <w:p>
      <w:pPr>
        <w:keepNext w:val="0"/>
        <w:keepLines w:val="0"/>
        <w:pageBreakBefore w:val="0"/>
        <w:widowControl w:val="0"/>
        <w:wordWrap/>
        <w:topLinePunct w:val="0"/>
        <w:bidi w:val="0"/>
        <w:spacing w:beforeAutospacing="0" w:afterAutospacing="0" w:line="560" w:lineRule="exact"/>
        <w:ind w:left="0" w:leftChars="0" w:firstLine="643"/>
        <w:rPr>
          <w:highlight w:val="none"/>
        </w:rPr>
      </w:pPr>
      <w:r>
        <w:rPr>
          <w:rFonts w:hint="eastAsia" w:ascii="Arial" w:hAnsi="Arial" w:eastAsia="楷体_GB2312"/>
          <w:b/>
          <w:bCs w:val="0"/>
          <w:highlight w:val="none"/>
        </w:rPr>
        <w:t>第</w:t>
      </w:r>
      <w:r>
        <w:rPr>
          <w:rFonts w:hint="eastAsia" w:ascii="Arial" w:hAnsi="Arial" w:eastAsia="楷体_GB2312"/>
          <w:b/>
          <w:bCs w:val="0"/>
          <w:highlight w:val="none"/>
          <w:lang w:val="en-US" w:eastAsia="zh-CN"/>
        </w:rPr>
        <w:t>十</w:t>
      </w:r>
      <w:r>
        <w:rPr>
          <w:rFonts w:hint="eastAsia" w:ascii="Arial" w:hAnsi="Arial" w:eastAsia="楷体_GB2312"/>
          <w:b/>
          <w:bCs w:val="0"/>
          <w:highlight w:val="none"/>
        </w:rPr>
        <w:t>条</w:t>
      </w:r>
      <w:r>
        <w:rPr>
          <w:rFonts w:hint="eastAsia"/>
          <w:highlight w:val="none"/>
        </w:rPr>
        <w:t xml:space="preserve">  本措施尚未涵盖但对辖区经济</w:t>
      </w:r>
      <w:r>
        <w:rPr>
          <w:highlight w:val="none"/>
        </w:rPr>
        <w:t>发展</w:t>
      </w:r>
      <w:r>
        <w:rPr>
          <w:rFonts w:hint="eastAsia"/>
          <w:highlight w:val="none"/>
        </w:rPr>
        <w:t>有重要影响的事项或上级部门有明确要求的事项，由相关单位直接向区主管部门提出申请，主管部门提出受理意见，按“一事一议”的方式报区自主创新产业发展专项资金领导小组会议审议。</w:t>
      </w:r>
    </w:p>
    <w:p>
      <w:pPr>
        <w:keepNext w:val="0"/>
        <w:keepLines w:val="0"/>
        <w:pageBreakBefore w:val="0"/>
        <w:widowControl w:val="0"/>
        <w:wordWrap/>
        <w:topLinePunct w:val="0"/>
        <w:bidi w:val="0"/>
        <w:spacing w:beforeAutospacing="0" w:afterAutospacing="0" w:line="560" w:lineRule="exact"/>
        <w:ind w:left="0" w:leftChars="0" w:firstLine="643"/>
        <w:rPr>
          <w:highlight w:val="none"/>
        </w:rPr>
      </w:pPr>
      <w:r>
        <w:rPr>
          <w:rFonts w:hint="eastAsia" w:ascii="Arial" w:hAnsi="Arial" w:eastAsia="楷体_GB2312"/>
          <w:b/>
          <w:bCs w:val="0"/>
          <w:highlight w:val="none"/>
        </w:rPr>
        <w:t>第</w:t>
      </w:r>
      <w:r>
        <w:rPr>
          <w:rFonts w:hint="eastAsia" w:ascii="Arial" w:hAnsi="Arial" w:eastAsia="楷体_GB2312"/>
          <w:b/>
          <w:bCs w:val="0"/>
          <w:highlight w:val="none"/>
          <w:lang w:val="en-US" w:eastAsia="zh-CN"/>
        </w:rPr>
        <w:t>十一</w:t>
      </w:r>
      <w:r>
        <w:rPr>
          <w:rFonts w:hint="eastAsia" w:ascii="Arial" w:hAnsi="Arial" w:eastAsia="楷体_GB2312"/>
          <w:b/>
          <w:bCs w:val="0"/>
          <w:highlight w:val="none"/>
        </w:rPr>
        <w:t>条</w:t>
      </w:r>
      <w:r>
        <w:rPr>
          <w:rFonts w:hint="eastAsia" w:ascii="Arial" w:hAnsi="Arial" w:eastAsia="楷体_GB2312"/>
          <w:b/>
          <w:highlight w:val="none"/>
        </w:rPr>
        <w:t xml:space="preserve"> </w:t>
      </w:r>
      <w:r>
        <w:rPr>
          <w:highlight w:val="none"/>
        </w:rPr>
        <w:t xml:space="preserve"> </w:t>
      </w:r>
      <w:r>
        <w:rPr>
          <w:rFonts w:hint="eastAsia"/>
          <w:highlight w:val="none"/>
        </w:rPr>
        <w:t>本措施自发布之日起施行，有效期三年。</w:t>
      </w:r>
    </w:p>
    <w:p>
      <w:pPr>
        <w:keepNext w:val="0"/>
        <w:keepLines w:val="0"/>
        <w:pageBreakBefore w:val="0"/>
        <w:widowControl w:val="0"/>
        <w:wordWrap/>
        <w:topLinePunct w:val="0"/>
        <w:bidi w:val="0"/>
        <w:spacing w:beforeAutospacing="0" w:afterAutospacing="0" w:line="560" w:lineRule="exact"/>
        <w:ind w:left="0" w:leftChars="0" w:firstLine="643"/>
        <w:rPr>
          <w:rFonts w:hint="eastAsia"/>
          <w:highlight w:val="none"/>
        </w:rPr>
      </w:pPr>
      <w:r>
        <w:rPr>
          <w:rFonts w:hint="eastAsia" w:ascii="Arial" w:hAnsi="Arial" w:eastAsia="楷体_GB2312"/>
          <w:b/>
          <w:bCs w:val="0"/>
          <w:highlight w:val="none"/>
        </w:rPr>
        <w:t>第</w:t>
      </w:r>
      <w:r>
        <w:rPr>
          <w:rFonts w:hint="eastAsia" w:ascii="Arial" w:hAnsi="Arial" w:eastAsia="楷体_GB2312"/>
          <w:b/>
          <w:bCs w:val="0"/>
          <w:highlight w:val="none"/>
          <w:lang w:val="en-US" w:eastAsia="zh-CN"/>
        </w:rPr>
        <w:t>十二</w:t>
      </w:r>
      <w:r>
        <w:rPr>
          <w:rFonts w:hint="eastAsia" w:ascii="Arial" w:hAnsi="Arial" w:eastAsia="楷体_GB2312"/>
          <w:b/>
          <w:bCs w:val="0"/>
          <w:highlight w:val="none"/>
        </w:rPr>
        <w:t>条</w:t>
      </w:r>
      <w:r>
        <w:rPr>
          <w:rFonts w:hint="eastAsia"/>
          <w:highlight w:val="none"/>
        </w:rPr>
        <w:t xml:space="preserve">  本措施由区工业和信息化局负责解释，制定与本措施相关的操作规程。</w:t>
      </w:r>
    </w:p>
    <w:p>
      <w:pPr>
        <w:pStyle w:val="2"/>
        <w:keepNext w:val="0"/>
        <w:keepLines w:val="0"/>
        <w:pageBreakBefore w:val="0"/>
        <w:widowControl w:val="0"/>
        <w:wordWrap/>
        <w:topLinePunct w:val="0"/>
        <w:bidi w:val="0"/>
        <w:spacing w:before="0" w:beforeLines="0" w:beforeAutospacing="0" w:after="0" w:afterLines="0" w:afterAutospacing="0" w:line="560" w:lineRule="exact"/>
        <w:ind w:left="0" w:leftChars="0"/>
        <w:rPr>
          <w:rFonts w:hint="eastAsia"/>
          <w:highlight w:val="none"/>
        </w:rPr>
      </w:pPr>
    </w:p>
    <w:p>
      <w:pPr>
        <w:keepNext w:val="0"/>
        <w:keepLines w:val="0"/>
        <w:pageBreakBefore w:val="0"/>
        <w:widowControl w:val="0"/>
        <w:wordWrap/>
        <w:topLinePunct w:val="0"/>
        <w:bidi w:val="0"/>
        <w:spacing w:beforeAutospacing="0" w:afterAutospacing="0" w:line="560" w:lineRule="exact"/>
        <w:ind w:left="0" w:leftChars="0"/>
        <w:rPr>
          <w:rFonts w:hint="eastAsia"/>
          <w:highlight w:val="none"/>
        </w:rPr>
      </w:pPr>
    </w:p>
    <w:p>
      <w:pPr>
        <w:pStyle w:val="2"/>
        <w:keepNext w:val="0"/>
        <w:keepLines w:val="0"/>
        <w:pageBreakBefore w:val="0"/>
        <w:widowControl w:val="0"/>
        <w:wordWrap/>
        <w:topLinePunct w:val="0"/>
        <w:bidi w:val="0"/>
        <w:spacing w:before="0" w:beforeLines="0" w:beforeAutospacing="0" w:after="0" w:afterLines="0" w:afterAutospacing="0" w:line="560" w:lineRule="exact"/>
        <w:ind w:left="0" w:leftChars="0"/>
        <w:rPr>
          <w:rFonts w:hint="eastAsia"/>
          <w:highlight w:val="none"/>
        </w:rPr>
      </w:pPr>
    </w:p>
    <w:p>
      <w:pPr>
        <w:keepNext w:val="0"/>
        <w:keepLines w:val="0"/>
        <w:pageBreakBefore w:val="0"/>
        <w:widowControl w:val="0"/>
        <w:wordWrap/>
        <w:topLinePunct w:val="0"/>
        <w:bidi w:val="0"/>
        <w:spacing w:beforeAutospacing="0" w:afterAutospacing="0" w:line="560" w:lineRule="exact"/>
        <w:ind w:left="0" w:leftChars="0"/>
        <w:rPr>
          <w:rFonts w:hint="eastAsia"/>
          <w:highlight w:val="none"/>
        </w:rPr>
      </w:pPr>
    </w:p>
    <w:p>
      <w:pPr>
        <w:pStyle w:val="2"/>
        <w:keepNext w:val="0"/>
        <w:keepLines w:val="0"/>
        <w:pageBreakBefore w:val="0"/>
        <w:widowControl w:val="0"/>
        <w:wordWrap/>
        <w:topLinePunct w:val="0"/>
        <w:bidi w:val="0"/>
        <w:spacing w:before="0" w:beforeLines="0" w:beforeAutospacing="0" w:after="0" w:afterLines="0" w:afterAutospacing="0" w:line="560" w:lineRule="exact"/>
        <w:ind w:left="0" w:leftChars="0"/>
        <w:jc w:val="both"/>
        <w:rPr>
          <w:rFonts w:hint="eastAsia"/>
          <w:highlight w:val="none"/>
        </w:rPr>
      </w:pPr>
    </w:p>
    <w:p>
      <w:pPr>
        <w:keepNext w:val="0"/>
        <w:keepLines w:val="0"/>
        <w:pageBreakBefore w:val="0"/>
        <w:widowControl w:val="0"/>
        <w:wordWrap/>
        <w:topLinePunct w:val="0"/>
        <w:bidi w:val="0"/>
        <w:spacing w:beforeAutospacing="0" w:afterAutospacing="0" w:line="560" w:lineRule="exact"/>
        <w:ind w:left="0" w:leftChars="0" w:firstLine="0" w:firstLineChars="0"/>
        <w:jc w:val="center"/>
        <w:rPr>
          <w:rFonts w:hint="eastAsia" w:ascii="方正小标宋简体" w:hAnsi="方正小标宋简体" w:eastAsia="方正小标宋简体" w:cs="方正小标宋简体"/>
          <w:sz w:val="44"/>
          <w:szCs w:val="44"/>
        </w:rPr>
      </w:pPr>
    </w:p>
    <w:p>
      <w:pP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p>
    <w:p>
      <w:pPr>
        <w:keepNext w:val="0"/>
        <w:keepLines w:val="0"/>
        <w:pageBreakBefore w:val="0"/>
        <w:widowControl w:val="0"/>
        <w:wordWrap/>
        <w:topLinePunct w:val="0"/>
        <w:bidi w:val="0"/>
        <w:spacing w:beforeAutospacing="0" w:afterAutospacing="0" w:line="560" w:lineRule="exact"/>
        <w:ind w:left="0" w:lef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南山区</w:t>
      </w:r>
      <w:r>
        <w:rPr>
          <w:rFonts w:hint="eastAsia" w:ascii="方正小标宋简体" w:hAnsi="方正小标宋简体" w:eastAsia="方正小标宋简体" w:cs="方正小标宋简体"/>
          <w:sz w:val="44"/>
          <w:szCs w:val="44"/>
          <w:lang w:eastAsia="zh-CN"/>
        </w:rPr>
        <w:t>促进</w:t>
      </w:r>
      <w:r>
        <w:rPr>
          <w:rFonts w:hint="eastAsia" w:ascii="方正小标宋简体" w:hAnsi="方正小标宋简体" w:eastAsia="方正小标宋简体" w:cs="方正小标宋简体"/>
          <w:sz w:val="44"/>
          <w:szCs w:val="44"/>
        </w:rPr>
        <w:t>商贸流通业发展</w:t>
      </w:r>
      <w:bookmarkStart w:id="1076" w:name="_Toc1259"/>
      <w:bookmarkStart w:id="1077" w:name="_Toc350"/>
      <w:bookmarkStart w:id="1078" w:name="_Toc20725"/>
      <w:bookmarkStart w:id="1079" w:name="_Toc12743"/>
      <w:bookmarkStart w:id="1080" w:name="_Toc478"/>
      <w:bookmarkStart w:id="1081" w:name="_Toc16716"/>
      <w:bookmarkStart w:id="1082" w:name="_Toc24642"/>
      <w:bookmarkStart w:id="1083" w:name="_Toc21134"/>
      <w:bookmarkStart w:id="1084" w:name="_Toc13262"/>
      <w:bookmarkStart w:id="1085" w:name="_Toc28840"/>
      <w:bookmarkStart w:id="1086" w:name="_Toc10523"/>
      <w:bookmarkStart w:id="1087" w:name="_Toc12230"/>
      <w:bookmarkStart w:id="1088" w:name="_Toc15923"/>
      <w:bookmarkStart w:id="1089" w:name="_Toc32327"/>
      <w:bookmarkStart w:id="1090" w:name="_Toc25070"/>
      <w:bookmarkStart w:id="1091" w:name="_Toc19043"/>
      <w:bookmarkStart w:id="1092" w:name="_Toc1903"/>
      <w:bookmarkStart w:id="1093" w:name="_Toc1850"/>
      <w:r>
        <w:rPr>
          <w:rFonts w:hint="eastAsia" w:ascii="方正小标宋简体" w:hAnsi="方正小标宋简体" w:eastAsia="方正小标宋简体" w:cs="方正小标宋简体"/>
          <w:sz w:val="44"/>
          <w:szCs w:val="44"/>
        </w:rPr>
        <w:t>专项扶持措施</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2"/>
        <w:keepNext w:val="0"/>
        <w:keepLines w:val="0"/>
        <w:pageBreakBefore w:val="0"/>
        <w:widowControl w:val="0"/>
        <w:wordWrap/>
        <w:topLinePunct w:val="0"/>
        <w:bidi w:val="0"/>
        <w:spacing w:before="0" w:beforeLines="0" w:beforeAutospacing="0" w:after="0" w:afterLines="0" w:afterAutospacing="0" w:line="560" w:lineRule="exact"/>
        <w:ind w:left="0" w:leftChars="0"/>
      </w:pPr>
      <w:r>
        <w:rPr>
          <w:rFonts w:hint="eastAsia" w:ascii="宋体" w:hAnsi="宋体" w:eastAsia="宋体" w:cs="宋体"/>
          <w:b/>
          <w:bCs/>
          <w:sz w:val="36"/>
          <w:szCs w:val="36"/>
          <w:lang w:eastAsia="zh-CN"/>
        </w:rPr>
        <w:t>（征求意见稿）</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textAlignment w:val="auto"/>
        <w:rPr>
          <w:rFonts w:hint="eastAsia"/>
        </w:rPr>
      </w:pPr>
      <w:bookmarkStart w:id="1094" w:name="_Toc19681"/>
      <w:bookmarkStart w:id="1095" w:name="_Toc23461"/>
      <w:bookmarkStart w:id="1096" w:name="_Toc15142"/>
      <w:bookmarkStart w:id="1097" w:name="_Toc4795"/>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textAlignment w:val="auto"/>
        <w:rPr>
          <w:highlight w:val="none"/>
        </w:rPr>
      </w:pPr>
      <w:r>
        <w:rPr>
          <w:rFonts w:hint="eastAsia"/>
          <w:highlight w:val="none"/>
        </w:rPr>
        <w:t>第一章  总  则</w:t>
      </w:r>
      <w:bookmarkEnd w:id="1094"/>
      <w:bookmarkEnd w:id="1095"/>
      <w:bookmarkEnd w:id="1096"/>
      <w:bookmarkEnd w:id="1097"/>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textAlignment w:val="auto"/>
        <w:rPr>
          <w:rFonts w:hint="eastAsia" w:ascii="楷体_GB2312" w:hAnsi="楷体_GB2312" w:eastAsia="楷体_GB2312" w:cs="楷体_GB2312"/>
          <w:b/>
          <w:highlight w:val="none"/>
        </w:rPr>
      </w:pPr>
    </w:p>
    <w:p>
      <w:pPr>
        <w:keepNext w:val="0"/>
        <w:keepLines w:val="0"/>
        <w:pageBreakBefore w:val="0"/>
        <w:widowControl w:val="0"/>
        <w:wordWrap/>
        <w:topLinePunct w:val="0"/>
        <w:bidi w:val="0"/>
        <w:spacing w:beforeAutospacing="0" w:afterAutospacing="0" w:line="560" w:lineRule="exact"/>
        <w:ind w:left="0" w:leftChars="0" w:firstLine="643"/>
        <w:rPr>
          <w:highlight w:val="none"/>
        </w:rPr>
      </w:pPr>
      <w:r>
        <w:rPr>
          <w:rFonts w:hint="eastAsia" w:ascii="楷体_GB2312" w:hAnsi="楷体_GB2312" w:eastAsia="楷体_GB2312" w:cs="楷体_GB2312"/>
          <w:b/>
          <w:highlight w:val="none"/>
        </w:rPr>
        <w:t>第一条</w:t>
      </w:r>
      <w:r>
        <w:rPr>
          <w:rFonts w:hint="eastAsia"/>
          <w:highlight w:val="none"/>
        </w:rPr>
        <w:t xml:space="preserve">  为促进我区经济发展方式转变，推动产业结构优化升级，抢抓粤港澳大湾区和深圳先行示范区“双区”建设机遇，实现南山建成世界级创新型滨海中心城区的目标，同时规范南山区自主创新产业发展专项资金经济发展分项资金的使用和管理，根据《南山区自主创新产业发展专项资金管理办法》和全区经济工作部署，制定本措施。</w:t>
      </w:r>
    </w:p>
    <w:p>
      <w:pPr>
        <w:keepNext w:val="0"/>
        <w:keepLines w:val="0"/>
        <w:pageBreakBefore w:val="0"/>
        <w:widowControl w:val="0"/>
        <w:wordWrap/>
        <w:topLinePunct w:val="0"/>
        <w:bidi w:val="0"/>
        <w:spacing w:beforeAutospacing="0" w:afterAutospacing="0" w:line="560" w:lineRule="exact"/>
        <w:ind w:left="0" w:leftChars="0" w:firstLine="643"/>
        <w:rPr>
          <w:highlight w:val="none"/>
        </w:rPr>
      </w:pPr>
      <w:r>
        <w:rPr>
          <w:rFonts w:hint="eastAsia" w:ascii="楷体_GB2312" w:hAnsi="楷体_GB2312" w:eastAsia="楷体_GB2312" w:cs="楷体_GB2312"/>
          <w:b/>
          <w:highlight w:val="none"/>
        </w:rPr>
        <w:t>第二条</w:t>
      </w:r>
      <w:r>
        <w:rPr>
          <w:rFonts w:hint="eastAsia"/>
          <w:highlight w:val="none"/>
        </w:rPr>
        <w:t xml:space="preserve">  本措施支持范围包括支持商贸企业转型升级、支持商业企业扩大规模、支持企业走出去发展战略三大部分，各部分资金量在资金总量控制范围内可适当调整。</w:t>
      </w:r>
    </w:p>
    <w:p>
      <w:pPr>
        <w:keepNext w:val="0"/>
        <w:keepLines w:val="0"/>
        <w:pageBreakBefore w:val="0"/>
        <w:widowControl w:val="0"/>
        <w:wordWrap/>
        <w:topLinePunct w:val="0"/>
        <w:bidi w:val="0"/>
        <w:spacing w:beforeAutospacing="0" w:afterAutospacing="0" w:line="560" w:lineRule="exact"/>
        <w:ind w:left="0" w:leftChars="0" w:firstLine="643"/>
        <w:rPr>
          <w:highlight w:val="none"/>
        </w:rPr>
      </w:pPr>
      <w:r>
        <w:rPr>
          <w:rFonts w:hint="eastAsia" w:ascii="楷体_GB2312" w:hAnsi="楷体_GB2312" w:eastAsia="楷体_GB2312" w:cs="楷体_GB2312"/>
          <w:b/>
          <w:highlight w:val="none"/>
        </w:rPr>
        <w:t>第三条</w:t>
      </w:r>
      <w:r>
        <w:rPr>
          <w:rFonts w:hint="eastAsia"/>
          <w:highlight w:val="none"/>
        </w:rPr>
        <w:t xml:space="preserve">  区工业和信息化局为本措施的主管部门，区自主创新产业发展专项资金领导小组、经济发展分项资金审批专责小组为本措施的决策审批机构。</w:t>
      </w:r>
    </w:p>
    <w:p>
      <w:pPr>
        <w:keepNext w:val="0"/>
        <w:keepLines w:val="0"/>
        <w:pageBreakBefore w:val="0"/>
        <w:widowControl w:val="0"/>
        <w:wordWrap/>
        <w:topLinePunct w:val="0"/>
        <w:bidi w:val="0"/>
        <w:spacing w:beforeAutospacing="0" w:afterAutospacing="0" w:line="560" w:lineRule="exact"/>
        <w:ind w:left="0" w:leftChars="0" w:firstLine="643"/>
        <w:rPr>
          <w:highlight w:val="none"/>
        </w:rPr>
      </w:pPr>
      <w:r>
        <w:rPr>
          <w:rFonts w:hint="eastAsia" w:ascii="楷体_GB2312" w:hAnsi="楷体_GB2312" w:eastAsia="楷体_GB2312" w:cs="楷体_GB2312"/>
          <w:b/>
          <w:highlight w:val="none"/>
        </w:rPr>
        <w:t>第四条</w:t>
      </w:r>
      <w:r>
        <w:rPr>
          <w:rFonts w:hint="eastAsia"/>
          <w:highlight w:val="none"/>
        </w:rPr>
        <w:t xml:space="preserve">  本措施</w:t>
      </w:r>
      <w:r>
        <w:rPr>
          <w:highlight w:val="none"/>
        </w:rPr>
        <w:t>申报主体原则上应符合《南山区自主创新产业发展专项资金管理办法》规定的</w:t>
      </w:r>
      <w:r>
        <w:rPr>
          <w:rFonts w:hint="eastAsia"/>
          <w:highlight w:val="none"/>
          <w:lang w:eastAsia="zh-CN"/>
        </w:rPr>
        <w:t>“</w:t>
      </w:r>
      <w:r>
        <w:rPr>
          <w:rFonts w:hint="eastAsia"/>
          <w:highlight w:val="none"/>
        </w:rPr>
        <w:t>独立法人</w:t>
      </w:r>
      <w:r>
        <w:rPr>
          <w:rFonts w:hint="eastAsia"/>
          <w:highlight w:val="none"/>
          <w:lang w:eastAsia="zh-CN"/>
        </w:rPr>
        <w:t>”“</w:t>
      </w:r>
      <w:r>
        <w:rPr>
          <w:rFonts w:hint="eastAsia"/>
          <w:highlight w:val="none"/>
        </w:rPr>
        <w:t>注册地</w:t>
      </w:r>
      <w:r>
        <w:rPr>
          <w:rFonts w:hint="eastAsia"/>
          <w:highlight w:val="none"/>
          <w:lang w:eastAsia="zh-CN"/>
        </w:rPr>
        <w:t>”“区级</w:t>
      </w:r>
      <w:r>
        <w:rPr>
          <w:rFonts w:hint="eastAsia"/>
          <w:highlight w:val="none"/>
        </w:rPr>
        <w:t>地方财力贡献</w:t>
      </w:r>
      <w:r>
        <w:rPr>
          <w:rFonts w:hint="eastAsia"/>
          <w:highlight w:val="none"/>
          <w:lang w:eastAsia="zh-CN"/>
        </w:rPr>
        <w:t>”“每家单位单个扶持项目资助金额原则不得超过</w:t>
      </w:r>
      <w:r>
        <w:rPr>
          <w:rFonts w:hint="eastAsia"/>
          <w:highlight w:val="none"/>
          <w:lang w:val="en-US" w:eastAsia="zh-CN"/>
        </w:rPr>
        <w:t>1000万元</w:t>
      </w:r>
      <w:r>
        <w:rPr>
          <w:rFonts w:hint="eastAsia"/>
          <w:highlight w:val="none"/>
          <w:lang w:eastAsia="zh-CN"/>
        </w:rPr>
        <w:t>”</w:t>
      </w:r>
      <w:r>
        <w:rPr>
          <w:rFonts w:hint="eastAsia"/>
          <w:highlight w:val="none"/>
        </w:rPr>
        <w:t>等相关条件</w:t>
      </w:r>
      <w:r>
        <w:rPr>
          <w:highlight w:val="none"/>
        </w:rPr>
        <w:t>，以下情形除外：</w:t>
      </w:r>
    </w:p>
    <w:p>
      <w:pPr>
        <w:keepNext w:val="0"/>
        <w:keepLines w:val="0"/>
        <w:pageBreakBefore w:val="0"/>
        <w:widowControl w:val="0"/>
        <w:wordWrap/>
        <w:topLinePunct w:val="0"/>
        <w:bidi w:val="0"/>
        <w:spacing w:beforeAutospacing="0" w:afterAutospacing="0" w:line="560" w:lineRule="exact"/>
        <w:ind w:left="0" w:leftChars="0" w:firstLine="640"/>
        <w:rPr>
          <w:highlight w:val="none"/>
        </w:rPr>
      </w:pPr>
      <w:r>
        <w:rPr>
          <w:highlight w:val="none"/>
        </w:rPr>
        <w:t>（一）</w:t>
      </w:r>
      <w:r>
        <w:rPr>
          <w:rFonts w:hint="eastAsia"/>
          <w:highlight w:val="none"/>
        </w:rPr>
        <w:t>申请鼓励</w:t>
      </w:r>
      <w:r>
        <w:rPr>
          <w:rFonts w:hint="eastAsia" w:ascii="仿宋_GB2312"/>
          <w:highlight w:val="none"/>
        </w:rPr>
        <w:t>商业</w:t>
      </w:r>
      <w:r>
        <w:rPr>
          <w:rFonts w:hint="eastAsia"/>
          <w:highlight w:val="none"/>
        </w:rPr>
        <w:t>企业做大做强项目</w:t>
      </w:r>
      <w:r>
        <w:rPr>
          <w:highlight w:val="none"/>
        </w:rPr>
        <w:t>的</w:t>
      </w:r>
      <w:r>
        <w:rPr>
          <w:rFonts w:hint="eastAsia"/>
          <w:highlight w:val="none"/>
        </w:rPr>
        <w:t>单位</w:t>
      </w:r>
      <w:r>
        <w:rPr>
          <w:highlight w:val="none"/>
        </w:rPr>
        <w:t>可不受</w:t>
      </w:r>
      <w:r>
        <w:rPr>
          <w:rFonts w:hint="default" w:ascii="仿宋_GB2312" w:hAnsi="仿宋_GB2312" w:eastAsia="仿宋_GB2312" w:cs="仿宋_GB2312"/>
          <w:color w:val="auto"/>
          <w:sz w:val="32"/>
          <w:szCs w:val="40"/>
          <w:highlight w:val="none"/>
        </w:rPr>
        <w:t>《南山区自主创新产业发展专项资金管理办法》规定的</w:t>
      </w:r>
      <w:r>
        <w:rPr>
          <w:rFonts w:hint="eastAsia"/>
          <w:highlight w:val="none"/>
          <w:lang w:eastAsia="zh-CN"/>
        </w:rPr>
        <w:t>“</w:t>
      </w:r>
      <w:r>
        <w:rPr>
          <w:highlight w:val="none"/>
        </w:rPr>
        <w:t>注册地</w:t>
      </w:r>
      <w:r>
        <w:rPr>
          <w:rFonts w:hint="eastAsia"/>
          <w:highlight w:val="none"/>
          <w:lang w:eastAsia="zh-CN"/>
        </w:rPr>
        <w:t>”</w:t>
      </w:r>
      <w:r>
        <w:rPr>
          <w:highlight w:val="none"/>
        </w:rPr>
        <w:t>资格条件限制。</w:t>
      </w:r>
    </w:p>
    <w:p>
      <w:pPr>
        <w:keepNext w:val="0"/>
        <w:keepLines w:val="0"/>
        <w:pageBreakBefore w:val="0"/>
        <w:widowControl w:val="0"/>
        <w:wordWrap/>
        <w:topLinePunct w:val="0"/>
        <w:bidi w:val="0"/>
        <w:spacing w:beforeAutospacing="0" w:afterAutospacing="0" w:line="560" w:lineRule="exact"/>
        <w:ind w:left="0" w:leftChars="0" w:firstLine="640"/>
        <w:rPr>
          <w:rFonts w:hint="eastAsia"/>
          <w:highlight w:val="none"/>
        </w:rPr>
      </w:pPr>
      <w:r>
        <w:rPr>
          <w:rFonts w:hint="eastAsia"/>
          <w:highlight w:val="none"/>
        </w:rPr>
        <w:t>（二）申请支持推动夜间经济发展、鼓励</w:t>
      </w:r>
      <w:r>
        <w:rPr>
          <w:rFonts w:hint="eastAsia" w:ascii="仿宋_GB2312"/>
          <w:highlight w:val="none"/>
        </w:rPr>
        <w:t>商业</w:t>
      </w:r>
      <w:r>
        <w:rPr>
          <w:rFonts w:hint="eastAsia"/>
          <w:highlight w:val="none"/>
        </w:rPr>
        <w:t>企业纳统入库、鼓励</w:t>
      </w:r>
      <w:r>
        <w:rPr>
          <w:rFonts w:hint="eastAsia" w:ascii="仿宋_GB2312"/>
          <w:highlight w:val="none"/>
        </w:rPr>
        <w:t>商业</w:t>
      </w:r>
      <w:r>
        <w:rPr>
          <w:rFonts w:hint="eastAsia"/>
          <w:highlight w:val="none"/>
        </w:rPr>
        <w:t>企业做大做强、鼓励企业拓展海外市场、支持企业参加重点展会或活动、鼓励企业获取海关高级认证项目以及涉及民生农产品销售的单位不受《南山区自主创新产业发展专项资金管理办法》规定的“区级地方财力贡献”限制。</w:t>
      </w:r>
    </w:p>
    <w:p>
      <w:pPr>
        <w:keepNext w:val="0"/>
        <w:keepLines w:val="0"/>
        <w:pageBreakBefore w:val="0"/>
        <w:widowControl w:val="0"/>
        <w:wordWrap/>
        <w:topLinePunct w:val="0"/>
        <w:bidi w:val="0"/>
        <w:spacing w:beforeAutospacing="0" w:afterAutospacing="0" w:line="560" w:lineRule="exact"/>
        <w:ind w:left="0" w:leftChars="0" w:firstLine="640"/>
        <w:rPr>
          <w:rFonts w:hint="default"/>
          <w:highlight w:val="none"/>
        </w:rPr>
      </w:pPr>
      <w:r>
        <w:rPr>
          <w:rFonts w:hint="eastAsia"/>
          <w:highlight w:val="none"/>
          <w:lang w:eastAsia="zh-CN"/>
        </w:rPr>
        <w:t>（</w:t>
      </w:r>
      <w:r>
        <w:rPr>
          <w:rFonts w:hint="eastAsia"/>
          <w:highlight w:val="none"/>
          <w:lang w:val="en-US" w:eastAsia="zh-CN"/>
        </w:rPr>
        <w:t>三</w:t>
      </w:r>
      <w:r>
        <w:rPr>
          <w:rFonts w:hint="eastAsia"/>
          <w:highlight w:val="none"/>
          <w:lang w:eastAsia="zh-CN"/>
        </w:rPr>
        <w:t>）</w:t>
      </w:r>
      <w:r>
        <w:rPr>
          <w:rFonts w:hint="eastAsia"/>
          <w:highlight w:val="none"/>
          <w:lang w:val="en-US" w:eastAsia="zh-CN"/>
        </w:rPr>
        <w:t>申请</w:t>
      </w:r>
      <w:r>
        <w:rPr>
          <w:rFonts w:hint="eastAsia"/>
          <w:highlight w:val="none"/>
        </w:rPr>
        <w:t>加快高端品牌首店引进</w:t>
      </w:r>
      <w:r>
        <w:rPr>
          <w:rFonts w:hint="eastAsia"/>
          <w:highlight w:val="none"/>
          <w:lang w:eastAsia="zh-CN"/>
        </w:rPr>
        <w:t>、</w:t>
      </w:r>
      <w:r>
        <w:rPr>
          <w:rFonts w:hint="eastAsia"/>
          <w:highlight w:val="none"/>
        </w:rPr>
        <w:t>支持品牌连锁企业完善网点体系</w:t>
      </w:r>
      <w:r>
        <w:rPr>
          <w:rFonts w:hint="eastAsia"/>
          <w:highlight w:val="none"/>
          <w:lang w:eastAsia="zh-CN"/>
        </w:rPr>
        <w:t>、</w:t>
      </w:r>
      <w:r>
        <w:rPr>
          <w:rFonts w:hint="eastAsia"/>
          <w:highlight w:val="none"/>
        </w:rPr>
        <w:t>支持推动夜间经济发展</w:t>
      </w:r>
      <w:r>
        <w:rPr>
          <w:rFonts w:hint="eastAsia"/>
          <w:highlight w:val="none"/>
          <w:lang w:eastAsia="zh-CN"/>
        </w:rPr>
        <w:t>、</w:t>
      </w:r>
      <w:r>
        <w:rPr>
          <w:rFonts w:hint="eastAsia"/>
          <w:highlight w:val="none"/>
        </w:rPr>
        <w:t>鼓励商业企业做大做强</w:t>
      </w:r>
      <w:r>
        <w:rPr>
          <w:rFonts w:hint="eastAsia"/>
          <w:highlight w:val="none"/>
          <w:lang w:eastAsia="zh-CN"/>
        </w:rPr>
        <w:t>、</w:t>
      </w:r>
      <w:r>
        <w:rPr>
          <w:rFonts w:hint="eastAsia"/>
          <w:highlight w:val="none"/>
        </w:rPr>
        <w:t>鼓励企业拓展海外市场</w:t>
      </w:r>
      <w:r>
        <w:rPr>
          <w:rFonts w:hint="eastAsia"/>
          <w:highlight w:val="none"/>
          <w:lang w:val="en-US" w:eastAsia="zh-CN"/>
        </w:rPr>
        <w:t>的单位可不受《南山区自主创新产业发展专项资金管理办法》规定的“每家单位单个扶持项目资助金额原则上不得超过1000万元”</w:t>
      </w:r>
      <w:r>
        <w:rPr>
          <w:rFonts w:hint="eastAsia" w:eastAsia="仿宋_GB2312"/>
          <w:kern w:val="2"/>
          <w:highlight w:val="none"/>
          <w:lang w:eastAsia="zh-CN"/>
        </w:rPr>
        <w:t>总量控制</w:t>
      </w:r>
      <w:r>
        <w:rPr>
          <w:rFonts w:hint="eastAsia"/>
          <w:highlight w:val="none"/>
          <w:lang w:val="en-US" w:eastAsia="zh-CN"/>
        </w:rPr>
        <w:t>限制。</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jc w:val="left"/>
        <w:textAlignment w:val="auto"/>
      </w:pP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textAlignment w:val="auto"/>
        <w:rPr>
          <w:highlight w:val="none"/>
        </w:rPr>
      </w:pPr>
      <w:bookmarkStart w:id="1098" w:name="_Toc2569"/>
      <w:bookmarkStart w:id="1099" w:name="_Toc29973"/>
      <w:bookmarkStart w:id="1100" w:name="_Toc995"/>
      <w:bookmarkStart w:id="1101" w:name="_Toc6737"/>
      <w:bookmarkStart w:id="1102" w:name="_Toc24322"/>
      <w:bookmarkStart w:id="1103" w:name="_Toc8151"/>
      <w:bookmarkStart w:id="1104" w:name="_Toc27046"/>
      <w:bookmarkStart w:id="1105" w:name="_Toc29139"/>
      <w:bookmarkStart w:id="1106" w:name="_Toc6186"/>
      <w:bookmarkStart w:id="1107" w:name="_Toc11541"/>
      <w:bookmarkStart w:id="1108" w:name="_Toc12596"/>
      <w:bookmarkStart w:id="1109" w:name="_Toc442"/>
      <w:bookmarkStart w:id="1110" w:name="_Toc9365"/>
      <w:bookmarkStart w:id="1111" w:name="_Toc29413"/>
      <w:r>
        <w:rPr>
          <w:rFonts w:hint="eastAsia"/>
          <w:highlight w:val="none"/>
        </w:rPr>
        <w:t>第二章  支持商贸流通业发展</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firstLine="0" w:firstLineChars="0"/>
        <w:textAlignment w:val="auto"/>
        <w:rPr>
          <w:rFonts w:ascii="楷体_GB2312"/>
          <w:highlight w:val="none"/>
        </w:rPr>
      </w:pPr>
      <w:bookmarkStart w:id="1112" w:name="_Toc31521"/>
      <w:bookmarkStart w:id="1113" w:name="_Toc5736"/>
      <w:bookmarkStart w:id="1114" w:name="_Toc29938"/>
      <w:bookmarkStart w:id="1115" w:name="_Toc24775"/>
      <w:bookmarkStart w:id="1116" w:name="_Toc5792"/>
      <w:bookmarkStart w:id="1117" w:name="_Toc19793"/>
      <w:bookmarkStart w:id="1118" w:name="_Toc3037"/>
      <w:bookmarkStart w:id="1119" w:name="_Toc4865"/>
      <w:bookmarkStart w:id="1120" w:name="_Toc27142"/>
      <w:bookmarkStart w:id="1121" w:name="_Toc3379"/>
      <w:bookmarkStart w:id="1122" w:name="_Toc28940"/>
      <w:bookmarkStart w:id="1123" w:name="_Toc17521"/>
      <w:bookmarkStart w:id="1124" w:name="_Toc13608"/>
      <w:bookmarkStart w:id="1125" w:name="_Toc19643"/>
      <w:r>
        <w:rPr>
          <w:rFonts w:ascii="楷体_GB2312"/>
          <w:highlight w:val="none"/>
        </w:rPr>
        <w:tab/>
      </w:r>
    </w:p>
    <w:p>
      <w:pPr>
        <w:pStyle w:val="4"/>
        <w:keepNext w:val="0"/>
        <w:keepLines w:val="0"/>
        <w:pageBreakBefore w:val="0"/>
        <w:widowControl w:val="0"/>
        <w:numPr>
          <w:ilvl w:val="0"/>
          <w:numId w:val="0"/>
        </w:numPr>
        <w:wordWrap/>
        <w:topLinePunct w:val="0"/>
        <w:bidi w:val="0"/>
        <w:spacing w:beforeAutospacing="0" w:afterAutospacing="0" w:line="560" w:lineRule="exact"/>
        <w:ind w:left="0" w:leftChars="0" w:firstLine="643" w:firstLineChars="200"/>
        <w:rPr>
          <w:rFonts w:hint="eastAsia" w:ascii="楷体_GB2312" w:hAnsi="楷体_GB2312" w:eastAsia="楷体_GB2312" w:cs="楷体_GB2312"/>
          <w:b/>
          <w:kern w:val="2"/>
          <w:sz w:val="32"/>
          <w:szCs w:val="24"/>
          <w:highlight w:val="none"/>
          <w:lang w:val="en-US" w:eastAsia="zh-CN" w:bidi="ar-SA"/>
        </w:rPr>
      </w:pPr>
      <w:bookmarkStart w:id="1126" w:name="_Toc14335"/>
      <w:bookmarkStart w:id="1127" w:name="_Toc13333"/>
      <w:bookmarkStart w:id="1128" w:name="_Toc22412"/>
      <w:bookmarkStart w:id="1129" w:name="_Toc17354"/>
      <w:bookmarkStart w:id="1130" w:name="_Toc11484"/>
      <w:bookmarkStart w:id="1131" w:name="_Toc1069"/>
      <w:bookmarkStart w:id="1132" w:name="_Toc31138"/>
      <w:bookmarkStart w:id="1133" w:name="_Toc9550"/>
      <w:bookmarkStart w:id="1134" w:name="_Toc22617"/>
      <w:bookmarkStart w:id="1135" w:name="_Toc25975"/>
      <w:bookmarkStart w:id="1136" w:name="_Toc12090"/>
      <w:bookmarkStart w:id="1137" w:name="_Toc8238"/>
      <w:bookmarkStart w:id="1138" w:name="_Toc13160"/>
      <w:bookmarkStart w:id="1139" w:name="_Toc4642"/>
      <w:bookmarkStart w:id="1140" w:name="_Toc29234"/>
      <w:bookmarkStart w:id="1141" w:name="_Toc16960"/>
      <w:bookmarkStart w:id="1142" w:name="_Toc11345"/>
      <w:bookmarkStart w:id="1143" w:name="_Toc22347"/>
      <w:bookmarkStart w:id="1144" w:name="_Toc24292"/>
      <w:bookmarkStart w:id="1145" w:name="_Toc20253"/>
      <w:bookmarkStart w:id="1146" w:name="_Toc24954"/>
      <w:bookmarkStart w:id="1147" w:name="_Toc2714"/>
      <w:bookmarkStart w:id="1148" w:name="_Toc23266"/>
      <w:bookmarkStart w:id="1149" w:name="_Toc1755"/>
      <w:bookmarkStart w:id="1150" w:name="_Toc3139"/>
      <w:bookmarkStart w:id="1151" w:name="_Toc6160"/>
      <w:bookmarkStart w:id="1152" w:name="_Toc18550"/>
      <w:bookmarkStart w:id="1153" w:name="_Toc25922"/>
      <w:bookmarkStart w:id="1154" w:name="_Toc11621"/>
      <w:r>
        <w:rPr>
          <w:rFonts w:hint="eastAsia" w:ascii="楷体_GB2312" w:hAnsi="楷体_GB2312" w:eastAsia="楷体_GB2312" w:cs="楷体_GB2312"/>
          <w:b/>
          <w:kern w:val="2"/>
          <w:sz w:val="32"/>
          <w:szCs w:val="24"/>
          <w:highlight w:val="none"/>
          <w:lang w:val="en-US" w:eastAsia="zh-CN" w:bidi="ar-SA"/>
        </w:rPr>
        <w:t>第五条  支持商贸企业转型升级</w:t>
      </w:r>
    </w:p>
    <w:p>
      <w:pPr>
        <w:pStyle w:val="4"/>
        <w:keepNext w:val="0"/>
        <w:keepLines w:val="0"/>
        <w:pageBreakBefore w:val="0"/>
        <w:widowControl w:val="0"/>
        <w:numPr>
          <w:ilvl w:val="0"/>
          <w:numId w:val="0"/>
        </w:numPr>
        <w:wordWrap/>
        <w:topLinePunct w:val="0"/>
        <w:bidi w:val="0"/>
        <w:spacing w:beforeAutospacing="0" w:afterAutospacing="0" w:line="560" w:lineRule="exact"/>
        <w:ind w:left="0" w:leftChars="0" w:firstLine="643" w:firstLineChars="200"/>
        <w:rPr>
          <w:rFonts w:ascii="仿宋_GB2312"/>
          <w:highlight w:val="none"/>
        </w:rPr>
      </w:pPr>
      <w:r>
        <w:rPr>
          <w:rFonts w:hint="eastAsia" w:ascii="仿宋_GB2312"/>
          <w:highlight w:val="none"/>
        </w:rPr>
        <w:t>（一）鼓励商贸企业更新改造</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r>
        <w:rPr>
          <w:rFonts w:ascii="仿宋_GB2312"/>
          <w:highlight w:val="none"/>
        </w:rPr>
        <w:tab/>
      </w:r>
    </w:p>
    <w:p>
      <w:pPr>
        <w:keepNext w:val="0"/>
        <w:keepLines w:val="0"/>
        <w:pageBreakBefore w:val="0"/>
        <w:widowControl w:val="0"/>
        <w:wordWrap/>
        <w:topLinePunct w:val="0"/>
        <w:bidi w:val="0"/>
        <w:spacing w:beforeAutospacing="0" w:afterAutospacing="0" w:line="560" w:lineRule="exact"/>
        <w:ind w:left="0" w:leftChars="0" w:firstLine="640"/>
        <w:rPr>
          <w:rFonts w:ascii="仿宋_GB2312"/>
          <w:highlight w:val="none"/>
        </w:rPr>
      </w:pPr>
      <w:r>
        <w:rPr>
          <w:rFonts w:hint="eastAsia" w:ascii="仿宋_GB2312"/>
          <w:highlight w:val="none"/>
        </w:rPr>
        <w:t>对商贸企业开展硬件设施改造、先进技术应用、标准化建设、重要商品追溯体系建设、网络销售平台建设等项目，按照不超过其项目实际投入额的</w:t>
      </w:r>
      <w:r>
        <w:rPr>
          <w:rFonts w:ascii="仿宋_GB2312" w:hAnsi="仿宋_GB2312" w:cs="仿宋_GB2312"/>
          <w:szCs w:val="32"/>
          <w:highlight w:val="none"/>
        </w:rPr>
        <w:t>15</w:t>
      </w:r>
      <w:r>
        <w:rPr>
          <w:rFonts w:hint="eastAsia" w:ascii="仿宋_GB2312"/>
          <w:highlight w:val="none"/>
        </w:rPr>
        <w:t>%给予资助。每家企业每年可申报一次，资助金额最高</w:t>
      </w:r>
      <w:r>
        <w:rPr>
          <w:rFonts w:ascii="仿宋_GB2312" w:hAnsi="仿宋_GB2312" w:cs="仿宋_GB2312"/>
          <w:szCs w:val="32"/>
          <w:highlight w:val="none"/>
        </w:rPr>
        <w:t>100</w:t>
      </w:r>
      <w:r>
        <w:rPr>
          <w:rFonts w:hint="eastAsia" w:ascii="仿宋_GB2312"/>
          <w:highlight w:val="none"/>
        </w:rPr>
        <w:t>万元。</w:t>
      </w:r>
    </w:p>
    <w:p>
      <w:pPr>
        <w:pStyle w:val="4"/>
        <w:keepNext w:val="0"/>
        <w:keepLines w:val="0"/>
        <w:pageBreakBefore w:val="0"/>
        <w:widowControl w:val="0"/>
        <w:wordWrap/>
        <w:topLinePunct w:val="0"/>
        <w:bidi w:val="0"/>
        <w:spacing w:beforeAutospacing="0" w:afterAutospacing="0" w:line="560" w:lineRule="exact"/>
        <w:ind w:left="0" w:leftChars="0" w:firstLine="643"/>
        <w:rPr>
          <w:rFonts w:ascii="仿宋_GB2312"/>
          <w:highlight w:val="none"/>
        </w:rPr>
      </w:pPr>
      <w:bookmarkStart w:id="1155" w:name="_Toc9142"/>
      <w:bookmarkStart w:id="1156" w:name="_Toc21573"/>
      <w:bookmarkStart w:id="1157" w:name="_Toc31090"/>
      <w:bookmarkStart w:id="1158" w:name="_Toc5204"/>
      <w:bookmarkStart w:id="1159" w:name="_Toc10982"/>
      <w:bookmarkStart w:id="1160" w:name="_Toc17750"/>
      <w:bookmarkStart w:id="1161" w:name="_Toc30428"/>
      <w:bookmarkStart w:id="1162" w:name="_Toc29289"/>
      <w:bookmarkStart w:id="1163" w:name="_Toc497"/>
      <w:bookmarkStart w:id="1164" w:name="_Toc30968"/>
      <w:bookmarkStart w:id="1165" w:name="_Toc3668"/>
      <w:bookmarkStart w:id="1166" w:name="_Toc29207"/>
      <w:bookmarkStart w:id="1167" w:name="_Toc21960"/>
      <w:bookmarkStart w:id="1168" w:name="_Toc11848"/>
      <w:bookmarkStart w:id="1169" w:name="_Toc8145"/>
      <w:bookmarkStart w:id="1170" w:name="_Toc5891"/>
      <w:bookmarkStart w:id="1171" w:name="_Toc9190"/>
      <w:bookmarkStart w:id="1172" w:name="_Toc2998"/>
      <w:bookmarkStart w:id="1173" w:name="_Toc27809"/>
      <w:bookmarkStart w:id="1174" w:name="_Toc23111"/>
      <w:bookmarkStart w:id="1175" w:name="_Toc78"/>
      <w:bookmarkStart w:id="1176" w:name="_Toc18792"/>
      <w:bookmarkStart w:id="1177" w:name="_Toc27292"/>
      <w:bookmarkStart w:id="1178" w:name="_Toc20543"/>
      <w:bookmarkStart w:id="1179" w:name="_Toc413"/>
      <w:bookmarkStart w:id="1180" w:name="_Toc14361"/>
      <w:bookmarkStart w:id="1181" w:name="_Toc26906"/>
      <w:bookmarkStart w:id="1182" w:name="_Toc5444"/>
      <w:bookmarkStart w:id="1183" w:name="_Toc26363"/>
      <w:r>
        <w:rPr>
          <w:rFonts w:hint="eastAsia" w:ascii="仿宋_GB2312"/>
          <w:highlight w:val="none"/>
        </w:rPr>
        <w:t>（二）加快高端品牌首店引进</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r>
        <w:rPr>
          <w:rFonts w:ascii="仿宋_GB2312"/>
          <w:highlight w:val="none"/>
        </w:rPr>
        <w:tab/>
      </w:r>
    </w:p>
    <w:p>
      <w:pPr>
        <w:keepNext w:val="0"/>
        <w:keepLines w:val="0"/>
        <w:pageBreakBefore w:val="0"/>
        <w:widowControl w:val="0"/>
        <w:wordWrap/>
        <w:topLinePunct w:val="0"/>
        <w:bidi w:val="0"/>
        <w:spacing w:beforeAutospacing="0" w:afterAutospacing="0" w:line="560" w:lineRule="exact"/>
        <w:ind w:left="0" w:leftChars="0" w:firstLine="640"/>
        <w:rPr>
          <w:rFonts w:ascii="仿宋_GB2312" w:hAnsi="仿宋_GB2312" w:cs="仿宋_GB2312"/>
          <w:highlight w:val="none"/>
        </w:rPr>
      </w:pPr>
      <w:r>
        <w:rPr>
          <w:rFonts w:hint="eastAsia" w:ascii="仿宋_GB2312" w:hAnsi="仿宋_GB2312" w:cs="仿宋_GB2312"/>
          <w:highlight w:val="none"/>
        </w:rPr>
        <w:t>支持国际知名品牌企业、本土自主知名品牌企业及授权代理商在南山区开设中国（内地）首店、华南首店、深圳首店。对上两年开设上述首店并纳入南山区零售业“四上”统计库的零售企业，根据首店类型分档给予企业最高</w:t>
      </w:r>
      <w:r>
        <w:rPr>
          <w:rFonts w:ascii="仿宋_GB2312" w:hAnsi="仿宋_GB2312" w:cs="仿宋_GB2312"/>
          <w:highlight w:val="none"/>
        </w:rPr>
        <w:t>100万元的一次性奖励。</w:t>
      </w:r>
    </w:p>
    <w:p>
      <w:pPr>
        <w:keepNext w:val="0"/>
        <w:keepLines w:val="0"/>
        <w:pageBreakBefore w:val="0"/>
        <w:widowControl w:val="0"/>
        <w:wordWrap/>
        <w:topLinePunct w:val="0"/>
        <w:bidi w:val="0"/>
        <w:spacing w:beforeAutospacing="0" w:afterAutospacing="0" w:line="560" w:lineRule="exact"/>
        <w:ind w:left="0" w:leftChars="0" w:firstLine="640"/>
        <w:rPr>
          <w:rFonts w:ascii="仿宋_GB2312" w:hAnsi="仿宋_GB2312" w:cs="仿宋_GB2312"/>
          <w:highlight w:val="none"/>
        </w:rPr>
      </w:pPr>
      <w:r>
        <w:rPr>
          <w:rFonts w:hint="eastAsia" w:ascii="仿宋_GB2312" w:hAnsi="仿宋_GB2312" w:cs="仿宋_GB2312"/>
          <w:highlight w:val="none"/>
          <w:lang w:val="zh-TW"/>
        </w:rPr>
        <w:t>对南山区商圈的商业物业运营商</w:t>
      </w:r>
      <w:r>
        <w:rPr>
          <w:rFonts w:hint="eastAsia" w:ascii="仿宋_GB2312" w:hAnsi="仿宋_GB2312" w:cs="仿宋_GB2312"/>
          <w:highlight w:val="none"/>
        </w:rPr>
        <w:t>上一年度</w:t>
      </w:r>
      <w:r>
        <w:rPr>
          <w:rFonts w:hint="eastAsia" w:ascii="仿宋_GB2312" w:hAnsi="仿宋_GB2312" w:cs="仿宋_GB2312"/>
          <w:highlight w:val="none"/>
          <w:lang w:val="zh-TW"/>
        </w:rPr>
        <w:t>引入国际知名品牌中国（内地）首店、华南首店、深圳首店给予奖励，每个零售品牌门店奖励</w:t>
      </w:r>
      <w:r>
        <w:rPr>
          <w:rFonts w:ascii="仿宋_GB2312" w:hAnsi="仿宋_GB2312" w:cs="仿宋_GB2312"/>
          <w:highlight w:val="none"/>
          <w:lang w:val="zh-TW"/>
        </w:rPr>
        <w:t>50万元，每家运营商每年最高奖励300万元。</w:t>
      </w:r>
    </w:p>
    <w:p>
      <w:pPr>
        <w:pStyle w:val="4"/>
        <w:keepNext w:val="0"/>
        <w:keepLines w:val="0"/>
        <w:pageBreakBefore w:val="0"/>
        <w:widowControl w:val="0"/>
        <w:wordWrap/>
        <w:topLinePunct w:val="0"/>
        <w:bidi w:val="0"/>
        <w:spacing w:beforeAutospacing="0" w:afterAutospacing="0" w:line="560" w:lineRule="exact"/>
        <w:ind w:left="0" w:leftChars="0" w:firstLine="643"/>
        <w:rPr>
          <w:rFonts w:ascii="仿宋_GB2312"/>
          <w:highlight w:val="none"/>
        </w:rPr>
      </w:pPr>
      <w:bookmarkStart w:id="1184" w:name="_Toc27446"/>
      <w:bookmarkStart w:id="1185" w:name="_Toc183"/>
      <w:bookmarkStart w:id="1186" w:name="_Toc12681"/>
      <w:bookmarkStart w:id="1187" w:name="_Toc486"/>
      <w:bookmarkStart w:id="1188" w:name="_Toc6418"/>
      <w:bookmarkStart w:id="1189" w:name="_Toc22585"/>
      <w:bookmarkStart w:id="1190" w:name="_Toc22650"/>
      <w:bookmarkStart w:id="1191" w:name="_Toc5626"/>
      <w:bookmarkStart w:id="1192" w:name="_Toc19236"/>
      <w:bookmarkStart w:id="1193" w:name="_Toc32534"/>
      <w:bookmarkStart w:id="1194" w:name="_Toc4620"/>
      <w:bookmarkStart w:id="1195" w:name="_Toc32187"/>
      <w:bookmarkStart w:id="1196" w:name="_Toc8173"/>
      <w:bookmarkStart w:id="1197" w:name="_Toc18918"/>
      <w:bookmarkStart w:id="1198" w:name="_Toc29233"/>
      <w:bookmarkStart w:id="1199" w:name="_Toc28980"/>
      <w:bookmarkStart w:id="1200" w:name="_Toc28002"/>
      <w:bookmarkStart w:id="1201" w:name="_Toc31110"/>
      <w:bookmarkStart w:id="1202" w:name="_Toc7813"/>
      <w:bookmarkStart w:id="1203" w:name="_Toc10341"/>
      <w:bookmarkStart w:id="1204" w:name="_Toc12684"/>
      <w:bookmarkStart w:id="1205" w:name="_Toc29253"/>
      <w:bookmarkStart w:id="1206" w:name="_Toc11948"/>
      <w:bookmarkStart w:id="1207" w:name="_Toc6285"/>
      <w:bookmarkStart w:id="1208" w:name="_Toc11954"/>
      <w:bookmarkStart w:id="1209" w:name="_Toc16976"/>
      <w:bookmarkStart w:id="1210" w:name="_Toc27402"/>
      <w:bookmarkStart w:id="1211" w:name="_Toc13177"/>
      <w:bookmarkStart w:id="1212" w:name="_Toc22372"/>
      <w:r>
        <w:rPr>
          <w:rFonts w:hint="eastAsia" w:ascii="仿宋_GB2312"/>
          <w:highlight w:val="none"/>
        </w:rPr>
        <w:t>（三）大力推进电子商务应用</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r>
        <w:rPr>
          <w:rFonts w:ascii="仿宋_GB2312"/>
          <w:highlight w:val="none"/>
        </w:rPr>
        <w:tab/>
      </w:r>
    </w:p>
    <w:p>
      <w:pPr>
        <w:keepNext w:val="0"/>
        <w:keepLines w:val="0"/>
        <w:pageBreakBefore w:val="0"/>
        <w:widowControl w:val="0"/>
        <w:wordWrap/>
        <w:topLinePunct w:val="0"/>
        <w:bidi w:val="0"/>
        <w:spacing w:beforeAutospacing="0" w:afterAutospacing="0" w:line="560" w:lineRule="exact"/>
        <w:ind w:left="0" w:leftChars="0" w:firstLine="640"/>
        <w:rPr>
          <w:rFonts w:ascii="仿宋_GB2312"/>
          <w:highlight w:val="none"/>
        </w:rPr>
      </w:pPr>
      <w:r>
        <w:rPr>
          <w:rFonts w:hint="eastAsia" w:ascii="仿宋_GB2312"/>
          <w:highlight w:val="none"/>
        </w:rPr>
        <w:t>对第三方电子商务交易服务平台（不含金融服务）企业，上年度服务收入达到</w:t>
      </w:r>
      <w:r>
        <w:rPr>
          <w:rFonts w:ascii="仿宋_GB2312" w:hAnsi="仿宋_GB2312" w:cs="仿宋_GB2312"/>
          <w:szCs w:val="32"/>
          <w:highlight w:val="none"/>
        </w:rPr>
        <w:t>1</w:t>
      </w:r>
      <w:r>
        <w:rPr>
          <w:rFonts w:hint="eastAsia" w:ascii="仿宋_GB2312"/>
          <w:highlight w:val="none"/>
        </w:rPr>
        <w:t>亿元及以上，分档给予最高</w:t>
      </w:r>
      <w:r>
        <w:rPr>
          <w:rFonts w:ascii="仿宋_GB2312" w:hAnsi="仿宋_GB2312" w:cs="仿宋_GB2312"/>
          <w:szCs w:val="32"/>
          <w:highlight w:val="none"/>
        </w:rPr>
        <w:t>100</w:t>
      </w:r>
      <w:r>
        <w:rPr>
          <w:rFonts w:hint="eastAsia" w:ascii="仿宋_GB2312"/>
          <w:highlight w:val="none"/>
        </w:rPr>
        <w:t>万元的一次性奖励。</w:t>
      </w:r>
    </w:p>
    <w:p>
      <w:pPr>
        <w:keepNext w:val="0"/>
        <w:keepLines w:val="0"/>
        <w:pageBreakBefore w:val="0"/>
        <w:widowControl w:val="0"/>
        <w:wordWrap/>
        <w:topLinePunct w:val="0"/>
        <w:bidi w:val="0"/>
        <w:spacing w:beforeAutospacing="0" w:afterAutospacing="0" w:line="560" w:lineRule="exact"/>
        <w:ind w:left="0" w:leftChars="0" w:firstLine="640"/>
        <w:rPr>
          <w:rFonts w:ascii="仿宋_GB2312"/>
          <w:highlight w:val="none"/>
        </w:rPr>
      </w:pPr>
      <w:r>
        <w:rPr>
          <w:rFonts w:hint="eastAsia" w:ascii="仿宋_GB2312"/>
          <w:highlight w:val="none"/>
        </w:rPr>
        <w:t>对通过自营平台或第三方平台实现网络零售额（营业额）的大型批发零售类、餐饮类企业，按照上年度增长数额给予一定资助金额，其中利用网络直播形式实现的增长额资助比例提高一倍，每家企业每年最高</w:t>
      </w:r>
      <w:r>
        <w:rPr>
          <w:rFonts w:ascii="仿宋_GB2312" w:cs="仿宋_GB2312"/>
          <w:szCs w:val="32"/>
          <w:highlight w:val="none"/>
        </w:rPr>
        <w:t>100</w:t>
      </w:r>
      <w:r>
        <w:rPr>
          <w:rFonts w:hint="eastAsia" w:ascii="仿宋_GB2312"/>
          <w:highlight w:val="none"/>
        </w:rPr>
        <w:t>万元。</w:t>
      </w:r>
    </w:p>
    <w:p>
      <w:pPr>
        <w:pStyle w:val="4"/>
        <w:keepNext w:val="0"/>
        <w:keepLines w:val="0"/>
        <w:pageBreakBefore w:val="0"/>
        <w:widowControl w:val="0"/>
        <w:wordWrap/>
        <w:topLinePunct w:val="0"/>
        <w:bidi w:val="0"/>
        <w:spacing w:beforeAutospacing="0" w:afterAutospacing="0" w:line="560" w:lineRule="exact"/>
        <w:ind w:left="0" w:leftChars="0" w:firstLine="643"/>
        <w:rPr>
          <w:rFonts w:hint="eastAsia" w:ascii="仿宋_GB2312" w:hAnsi="Calibri" w:cs="Times New Roman"/>
          <w:bCs w:val="0"/>
          <w:highlight w:val="none"/>
        </w:rPr>
      </w:pPr>
      <w:bookmarkStart w:id="1213" w:name="_Toc15265"/>
      <w:bookmarkStart w:id="1214" w:name="_Toc6785"/>
      <w:bookmarkStart w:id="1215" w:name="_Toc13983"/>
      <w:bookmarkStart w:id="1216" w:name="_Toc32758"/>
      <w:bookmarkStart w:id="1217" w:name="_Toc23510"/>
      <w:bookmarkStart w:id="1218" w:name="_Toc28993"/>
      <w:bookmarkStart w:id="1219" w:name="_Toc10990"/>
      <w:bookmarkStart w:id="1220" w:name="_Toc22792"/>
      <w:bookmarkStart w:id="1221" w:name="_Toc21357"/>
      <w:bookmarkStart w:id="1222" w:name="_Toc10376"/>
      <w:bookmarkStart w:id="1223" w:name="_Toc5078"/>
      <w:bookmarkStart w:id="1224" w:name="_Toc4897"/>
      <w:bookmarkStart w:id="1225" w:name="_Toc25100"/>
      <w:bookmarkStart w:id="1226" w:name="_Toc8768"/>
      <w:bookmarkStart w:id="1227" w:name="_Toc23177"/>
      <w:bookmarkStart w:id="1228" w:name="_Toc17436"/>
      <w:bookmarkStart w:id="1229" w:name="_Toc19733"/>
      <w:bookmarkStart w:id="1230" w:name="_Toc6165"/>
      <w:bookmarkStart w:id="1231" w:name="_Toc7511"/>
      <w:bookmarkStart w:id="1232" w:name="_Toc23124"/>
      <w:bookmarkStart w:id="1233" w:name="_Toc6148"/>
      <w:bookmarkStart w:id="1234" w:name="_Toc24843"/>
      <w:bookmarkStart w:id="1235" w:name="_Toc11525"/>
      <w:bookmarkStart w:id="1236" w:name="_Toc28915"/>
      <w:bookmarkStart w:id="1237" w:name="_Toc4510"/>
      <w:bookmarkStart w:id="1238" w:name="_Toc32114"/>
      <w:bookmarkStart w:id="1239" w:name="_Toc17288"/>
      <w:bookmarkStart w:id="1240" w:name="_Toc7431"/>
      <w:r>
        <w:rPr>
          <w:rFonts w:hint="eastAsia" w:ascii="仿宋_GB2312" w:hAnsi="Calibri" w:cs="Times New Roman"/>
          <w:bCs w:val="0"/>
          <w:highlight w:val="none"/>
        </w:rPr>
        <w:t>（四）促进电商企业集聚发展</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pPr>
        <w:keepNext w:val="0"/>
        <w:keepLines w:val="0"/>
        <w:pageBreakBefore w:val="0"/>
        <w:widowControl w:val="0"/>
        <w:wordWrap/>
        <w:topLinePunct w:val="0"/>
        <w:bidi w:val="0"/>
        <w:spacing w:beforeAutospacing="0" w:afterAutospacing="0" w:line="560" w:lineRule="exact"/>
        <w:ind w:left="0" w:leftChars="0" w:firstLine="640"/>
        <w:rPr>
          <w:rFonts w:ascii="楷体_GB2312"/>
          <w:highlight w:val="none"/>
        </w:rPr>
      </w:pPr>
      <w:r>
        <w:rPr>
          <w:rFonts w:hint="eastAsia" w:ascii="仿宋_GB2312"/>
          <w:highlight w:val="none"/>
        </w:rPr>
        <w:t>对上两年度新入驻位于南山区的市级电子商务示范园区的电子商务企业，按照企业上两年度内实际支付一完整年度园区租金的</w:t>
      </w:r>
      <w:r>
        <w:rPr>
          <w:rFonts w:ascii="仿宋_GB2312" w:hAnsi="仿宋_GB2312" w:cs="仿宋_GB2312"/>
          <w:highlight w:val="none"/>
        </w:rPr>
        <w:t>20</w:t>
      </w:r>
      <w:r>
        <w:rPr>
          <w:rFonts w:hint="eastAsia" w:ascii="仿宋_GB2312"/>
          <w:highlight w:val="none"/>
        </w:rPr>
        <w:t>%给予一次性租金补贴，根据企业类型按上年度服务收入或销售额分档给予最高</w:t>
      </w:r>
      <w:r>
        <w:rPr>
          <w:rFonts w:ascii="仿宋_GB2312" w:hAnsi="仿宋_GB2312" w:cs="仿宋_GB2312"/>
          <w:highlight w:val="none"/>
        </w:rPr>
        <w:t>50</w:t>
      </w:r>
      <w:r>
        <w:rPr>
          <w:rFonts w:hint="eastAsia" w:ascii="仿宋_GB2312"/>
          <w:highlight w:val="none"/>
        </w:rPr>
        <w:t>万元的资助，每家企业仅可申报一次。</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pPr>
        <w:pStyle w:val="4"/>
        <w:keepNext w:val="0"/>
        <w:keepLines w:val="0"/>
        <w:pageBreakBefore w:val="0"/>
        <w:widowControl w:val="0"/>
        <w:numPr>
          <w:ilvl w:val="0"/>
          <w:numId w:val="0"/>
        </w:numPr>
        <w:wordWrap/>
        <w:topLinePunct w:val="0"/>
        <w:bidi w:val="0"/>
        <w:spacing w:beforeAutospacing="0" w:afterAutospacing="0" w:line="560" w:lineRule="exact"/>
        <w:ind w:left="0" w:leftChars="0" w:firstLine="643" w:firstLineChars="200"/>
        <w:rPr>
          <w:rFonts w:hint="eastAsia" w:ascii="楷体_GB2312" w:hAnsi="楷体_GB2312" w:eastAsia="楷体_GB2312" w:cs="楷体_GB2312"/>
          <w:b/>
          <w:kern w:val="2"/>
          <w:sz w:val="32"/>
          <w:szCs w:val="24"/>
          <w:highlight w:val="none"/>
          <w:lang w:val="en-US" w:eastAsia="zh-CN" w:bidi="ar-SA"/>
        </w:rPr>
      </w:pPr>
      <w:bookmarkStart w:id="1241" w:name="_Toc28707"/>
      <w:bookmarkStart w:id="1242" w:name="_Toc21152"/>
      <w:bookmarkStart w:id="1243" w:name="_Toc9832"/>
      <w:bookmarkStart w:id="1244" w:name="_Toc16900"/>
      <w:bookmarkStart w:id="1245" w:name="_Toc26880"/>
      <w:bookmarkStart w:id="1246" w:name="_Toc24917"/>
      <w:bookmarkStart w:id="1247" w:name="_Toc19164"/>
      <w:bookmarkStart w:id="1248" w:name="_Toc3543"/>
      <w:bookmarkStart w:id="1249" w:name="_Toc17522"/>
      <w:bookmarkStart w:id="1250" w:name="_Toc11459"/>
      <w:bookmarkStart w:id="1251" w:name="_Toc2477"/>
      <w:bookmarkStart w:id="1252" w:name="_Toc19522"/>
      <w:bookmarkStart w:id="1253" w:name="_Toc14847"/>
      <w:bookmarkStart w:id="1254" w:name="_Toc12574"/>
      <w:bookmarkStart w:id="1255" w:name="_Toc9042"/>
      <w:bookmarkStart w:id="1256" w:name="_Toc12146"/>
      <w:bookmarkStart w:id="1257" w:name="_Toc7065"/>
      <w:bookmarkStart w:id="1258" w:name="_Toc11189"/>
      <w:bookmarkStart w:id="1259" w:name="_Toc24395"/>
      <w:bookmarkStart w:id="1260" w:name="_Toc10385"/>
      <w:bookmarkStart w:id="1261" w:name="_Toc30141"/>
      <w:bookmarkStart w:id="1262" w:name="_Toc15380"/>
      <w:bookmarkStart w:id="1263" w:name="_Toc19981"/>
      <w:bookmarkStart w:id="1264" w:name="_Toc701"/>
      <w:bookmarkStart w:id="1265" w:name="_Toc7947"/>
      <w:bookmarkStart w:id="1266" w:name="_Toc21021"/>
      <w:bookmarkStart w:id="1267" w:name="_Toc5195"/>
      <w:bookmarkStart w:id="1268" w:name="_Toc9407"/>
      <w:bookmarkStart w:id="1269" w:name="_Toc25660"/>
      <w:bookmarkStart w:id="1270" w:name="_Toc12959"/>
      <w:bookmarkStart w:id="1271" w:name="_Toc14522"/>
      <w:bookmarkStart w:id="1272" w:name="_Toc20219"/>
      <w:bookmarkStart w:id="1273" w:name="_Toc8283"/>
      <w:bookmarkStart w:id="1274" w:name="_Toc26325"/>
      <w:bookmarkStart w:id="1275" w:name="_Toc32524"/>
      <w:bookmarkStart w:id="1276" w:name="_Toc5959"/>
      <w:bookmarkStart w:id="1277" w:name="_Toc8280"/>
      <w:bookmarkStart w:id="1278" w:name="_Toc22443"/>
      <w:bookmarkStart w:id="1279" w:name="_Toc21094"/>
      <w:bookmarkStart w:id="1280" w:name="_Toc3348"/>
      <w:bookmarkStart w:id="1281" w:name="_Toc21340"/>
      <w:bookmarkStart w:id="1282" w:name="_Toc7604"/>
      <w:r>
        <w:rPr>
          <w:rFonts w:hint="eastAsia" w:ascii="楷体_GB2312" w:hAnsi="楷体_GB2312" w:eastAsia="楷体_GB2312" w:cs="楷体_GB2312"/>
          <w:b/>
          <w:kern w:val="2"/>
          <w:sz w:val="32"/>
          <w:szCs w:val="24"/>
          <w:highlight w:val="none"/>
          <w:lang w:val="en-US" w:eastAsia="zh-CN" w:bidi="ar-SA"/>
        </w:rPr>
        <w:t xml:space="preserve"> 第六条  支持商业企业扩大规模</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pStyle w:val="4"/>
        <w:keepNext w:val="0"/>
        <w:keepLines w:val="0"/>
        <w:pageBreakBefore w:val="0"/>
        <w:widowControl w:val="0"/>
        <w:numPr>
          <w:ilvl w:val="0"/>
          <w:numId w:val="0"/>
        </w:numPr>
        <w:wordWrap/>
        <w:topLinePunct w:val="0"/>
        <w:bidi w:val="0"/>
        <w:spacing w:beforeAutospacing="0" w:afterAutospacing="0" w:line="560" w:lineRule="exact"/>
        <w:ind w:left="0" w:leftChars="0" w:firstLine="643" w:firstLineChars="200"/>
        <w:rPr>
          <w:rFonts w:ascii="仿宋_GB2312"/>
          <w:highlight w:val="none"/>
        </w:rPr>
      </w:pPr>
      <w:r>
        <w:rPr>
          <w:rFonts w:hint="eastAsia" w:ascii="仿宋_GB2312"/>
          <w:highlight w:val="none"/>
        </w:rPr>
        <w:t>（一）支持品牌连锁企业完善网点体系</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r>
        <w:rPr>
          <w:rFonts w:ascii="仿宋_GB2312"/>
          <w:highlight w:val="none"/>
        </w:rPr>
        <w:tab/>
      </w:r>
    </w:p>
    <w:p>
      <w:pPr>
        <w:keepNext w:val="0"/>
        <w:keepLines w:val="0"/>
        <w:pageBreakBefore w:val="0"/>
        <w:widowControl w:val="0"/>
        <w:wordWrap/>
        <w:topLinePunct w:val="0"/>
        <w:bidi w:val="0"/>
        <w:spacing w:beforeAutospacing="0" w:afterAutospacing="0" w:line="560" w:lineRule="exact"/>
        <w:ind w:left="0" w:leftChars="0" w:firstLine="640"/>
        <w:rPr>
          <w:rFonts w:ascii="仿宋_GB2312"/>
          <w:highlight w:val="none"/>
        </w:rPr>
      </w:pPr>
      <w:r>
        <w:rPr>
          <w:rFonts w:hint="eastAsia" w:ascii="仿宋_GB2312"/>
          <w:highlight w:val="none"/>
        </w:rPr>
        <w:t>对在南山区注册、拥有一个及以上有效注册商标的品牌连锁零售、住宿和餐饮企业，新开设直营店，按营业面积</w:t>
      </w:r>
      <w:r>
        <w:rPr>
          <w:rFonts w:ascii="仿宋_GB2312" w:hAnsi="仿宋_GB2312" w:cs="仿宋_GB2312"/>
          <w:highlight w:val="none"/>
        </w:rPr>
        <w:t>30</w:t>
      </w:r>
      <w:r>
        <w:rPr>
          <w:rFonts w:ascii="仿宋_GB2312"/>
          <w:highlight w:val="none"/>
        </w:rPr>
        <w:t>-</w:t>
      </w:r>
      <w:r>
        <w:rPr>
          <w:rFonts w:ascii="仿宋_GB2312" w:hAnsi="仿宋_GB2312" w:cs="仿宋_GB2312"/>
          <w:highlight w:val="none"/>
        </w:rPr>
        <w:t>50000</w:t>
      </w:r>
      <w:r>
        <w:rPr>
          <w:rFonts w:hint="eastAsia" w:ascii="仿宋_GB2312"/>
          <w:highlight w:val="none"/>
        </w:rPr>
        <w:t>平米给予单店</w:t>
      </w:r>
      <w:r>
        <w:rPr>
          <w:rFonts w:ascii="仿宋_GB2312" w:hAnsi="仿宋_GB2312" w:cs="仿宋_GB2312"/>
          <w:highlight w:val="none"/>
        </w:rPr>
        <w:t>5</w:t>
      </w:r>
      <w:r>
        <w:rPr>
          <w:rFonts w:ascii="仿宋_GB2312"/>
          <w:highlight w:val="none"/>
        </w:rPr>
        <w:t>-</w:t>
      </w:r>
      <w:r>
        <w:rPr>
          <w:rFonts w:ascii="仿宋_GB2312" w:hAnsi="仿宋_GB2312" w:cs="仿宋_GB2312"/>
          <w:highlight w:val="none"/>
        </w:rPr>
        <w:t>50</w:t>
      </w:r>
      <w:r>
        <w:rPr>
          <w:rFonts w:hint="eastAsia" w:ascii="仿宋_GB2312"/>
          <w:highlight w:val="none"/>
        </w:rPr>
        <w:t>万元的一次性开业资助。位于西丽、桃源北部片区的资助标准提高一倍。每家企业每年可申报一次，资助金额最高</w:t>
      </w:r>
      <w:r>
        <w:rPr>
          <w:rFonts w:ascii="仿宋_GB2312" w:hAnsi="仿宋_GB2312" w:cs="仿宋_GB2312"/>
          <w:highlight w:val="none"/>
        </w:rPr>
        <w:t>300</w:t>
      </w:r>
      <w:r>
        <w:rPr>
          <w:rFonts w:hint="eastAsia" w:ascii="仿宋_GB2312"/>
          <w:highlight w:val="none"/>
        </w:rPr>
        <w:t>万元。</w:t>
      </w:r>
    </w:p>
    <w:p>
      <w:pPr>
        <w:pStyle w:val="4"/>
        <w:keepNext w:val="0"/>
        <w:keepLines w:val="0"/>
        <w:pageBreakBefore w:val="0"/>
        <w:widowControl w:val="0"/>
        <w:wordWrap/>
        <w:topLinePunct w:val="0"/>
        <w:bidi w:val="0"/>
        <w:spacing w:beforeAutospacing="0" w:afterAutospacing="0" w:line="560" w:lineRule="exact"/>
        <w:ind w:left="0" w:leftChars="0" w:firstLine="643"/>
        <w:rPr>
          <w:rFonts w:ascii="仿宋_GB2312"/>
          <w:highlight w:val="none"/>
        </w:rPr>
      </w:pPr>
      <w:bookmarkStart w:id="1283" w:name="_Toc5128"/>
      <w:bookmarkStart w:id="1284" w:name="_Toc16811"/>
      <w:r>
        <w:rPr>
          <w:rFonts w:hint="eastAsia" w:ascii="仿宋_GB2312"/>
          <w:highlight w:val="none"/>
        </w:rPr>
        <w:t>（二）鼓励建设规模化园区集体食堂</w:t>
      </w:r>
      <w:bookmarkEnd w:id="1283"/>
      <w:bookmarkEnd w:id="1284"/>
    </w:p>
    <w:p>
      <w:pPr>
        <w:keepNext w:val="0"/>
        <w:keepLines w:val="0"/>
        <w:pageBreakBefore w:val="0"/>
        <w:widowControl w:val="0"/>
        <w:wordWrap/>
        <w:topLinePunct w:val="0"/>
        <w:bidi w:val="0"/>
        <w:spacing w:beforeAutospacing="0" w:afterAutospacing="0" w:line="560" w:lineRule="exact"/>
        <w:ind w:left="0" w:leftChars="0" w:firstLine="640"/>
        <w:rPr>
          <w:rFonts w:ascii="仿宋_GB2312"/>
          <w:highlight w:val="none"/>
        </w:rPr>
      </w:pPr>
      <w:r>
        <w:rPr>
          <w:rFonts w:hint="eastAsia" w:ascii="仿宋_GB2312"/>
          <w:highlight w:val="none"/>
        </w:rPr>
        <w:t>鼓励企业规模化经营园区集体食堂，对在南山区产业园区内经营</w:t>
      </w:r>
      <w:r>
        <w:rPr>
          <w:rFonts w:ascii="仿宋_GB2312" w:hAnsi="仿宋_GB2312" w:cs="仿宋_GB2312"/>
          <w:highlight w:val="none"/>
        </w:rPr>
        <w:t>3</w:t>
      </w:r>
      <w:r>
        <w:rPr>
          <w:rFonts w:hint="eastAsia" w:ascii="仿宋_GB2312"/>
          <w:highlight w:val="none"/>
        </w:rPr>
        <w:t>家（含</w:t>
      </w:r>
      <w:r>
        <w:rPr>
          <w:rFonts w:ascii="仿宋_GB2312" w:hAnsi="仿宋_GB2312" w:cs="仿宋_GB2312"/>
          <w:highlight w:val="none"/>
        </w:rPr>
        <w:t>3</w:t>
      </w:r>
      <w:r>
        <w:rPr>
          <w:rFonts w:hint="eastAsia" w:ascii="仿宋_GB2312"/>
          <w:highlight w:val="none"/>
        </w:rPr>
        <w:t>家）以上的集体食堂，每家食堂面积达到</w:t>
      </w:r>
      <w:r>
        <w:rPr>
          <w:rFonts w:ascii="仿宋_GB2312" w:hAnsi="仿宋_GB2312" w:cs="仿宋_GB2312"/>
          <w:highlight w:val="none"/>
        </w:rPr>
        <w:t>400</w:t>
      </w:r>
      <w:r>
        <w:rPr>
          <w:rFonts w:hint="eastAsia" w:ascii="仿宋_GB2312"/>
          <w:highlight w:val="none"/>
        </w:rPr>
        <w:t>平米及以上的，按照不超过实际支付租金的</w:t>
      </w:r>
      <w:r>
        <w:rPr>
          <w:rFonts w:ascii="仿宋_GB2312" w:hAnsi="仿宋_GB2312" w:cs="仿宋_GB2312"/>
          <w:highlight w:val="none"/>
        </w:rPr>
        <w:t>30</w:t>
      </w:r>
      <w:r>
        <w:rPr>
          <w:rFonts w:hint="eastAsia" w:ascii="仿宋_GB2312"/>
          <w:highlight w:val="none"/>
        </w:rPr>
        <w:t>%给予租金补贴，每家集体食堂每年补贴金额最高</w:t>
      </w:r>
      <w:r>
        <w:rPr>
          <w:rFonts w:ascii="仿宋_GB2312" w:hAnsi="仿宋_GB2312" w:cs="仿宋_GB2312"/>
          <w:highlight w:val="none"/>
        </w:rPr>
        <w:t>30</w:t>
      </w:r>
      <w:r>
        <w:rPr>
          <w:rFonts w:hint="eastAsia" w:ascii="仿宋_GB2312"/>
          <w:highlight w:val="none"/>
        </w:rPr>
        <w:t>万元。</w:t>
      </w:r>
    </w:p>
    <w:p>
      <w:pPr>
        <w:keepNext w:val="0"/>
        <w:keepLines w:val="0"/>
        <w:pageBreakBefore w:val="0"/>
        <w:widowControl w:val="0"/>
        <w:wordWrap/>
        <w:topLinePunct w:val="0"/>
        <w:bidi w:val="0"/>
        <w:spacing w:beforeAutospacing="0" w:afterAutospacing="0" w:line="560" w:lineRule="exact"/>
        <w:ind w:left="0" w:leftChars="0" w:firstLine="640"/>
        <w:rPr>
          <w:rFonts w:ascii="仿宋_GB2312"/>
          <w:highlight w:val="none"/>
        </w:rPr>
      </w:pPr>
      <w:r>
        <w:rPr>
          <w:rFonts w:hint="eastAsia" w:ascii="仿宋_GB2312"/>
          <w:highlight w:val="none"/>
        </w:rPr>
        <w:t>推动园区集体食堂规范经营及管理提升，对规模化经营的南山区产业园区内的集体食堂“食品安全监督量化”等级升为A级或经市市场监督管理局南山监管局认定为南山区熟食中心，每家集体食堂分别给予2</w:t>
      </w:r>
      <w:r>
        <w:rPr>
          <w:rFonts w:ascii="仿宋_GB2312" w:hAnsi="仿宋_GB2312" w:cs="仿宋_GB2312"/>
          <w:highlight w:val="none"/>
        </w:rPr>
        <w:t>0</w:t>
      </w:r>
      <w:r>
        <w:rPr>
          <w:rFonts w:hint="eastAsia" w:ascii="仿宋_GB2312"/>
          <w:highlight w:val="none"/>
        </w:rPr>
        <w:t>万元的一次性奖励。</w:t>
      </w:r>
    </w:p>
    <w:p>
      <w:pPr>
        <w:pStyle w:val="4"/>
        <w:keepNext w:val="0"/>
        <w:keepLines w:val="0"/>
        <w:pageBreakBefore w:val="0"/>
        <w:widowControl w:val="0"/>
        <w:wordWrap/>
        <w:topLinePunct w:val="0"/>
        <w:bidi w:val="0"/>
        <w:spacing w:beforeAutospacing="0" w:afterAutospacing="0" w:line="560" w:lineRule="exact"/>
        <w:ind w:left="0" w:leftChars="0" w:firstLine="643"/>
        <w:rPr>
          <w:rFonts w:ascii="仿宋_GB2312"/>
          <w:highlight w:val="none"/>
        </w:rPr>
      </w:pPr>
      <w:bookmarkStart w:id="1285" w:name="_Toc4989"/>
      <w:bookmarkStart w:id="1286" w:name="_Toc14445"/>
      <w:bookmarkStart w:id="1287" w:name="_Toc9913"/>
      <w:bookmarkStart w:id="1288" w:name="_Toc28363"/>
      <w:bookmarkStart w:id="1289" w:name="_Toc23595"/>
      <w:bookmarkStart w:id="1290" w:name="_Toc10155"/>
      <w:bookmarkStart w:id="1291" w:name="_Toc2657"/>
      <w:bookmarkStart w:id="1292" w:name="_Toc21459"/>
      <w:bookmarkStart w:id="1293" w:name="_Toc31856"/>
      <w:bookmarkStart w:id="1294" w:name="_Toc15699"/>
      <w:bookmarkStart w:id="1295" w:name="_Toc21974"/>
      <w:bookmarkStart w:id="1296" w:name="_Toc21905"/>
      <w:bookmarkStart w:id="1297" w:name="_Toc6843"/>
      <w:bookmarkStart w:id="1298" w:name="_Toc22680"/>
      <w:bookmarkStart w:id="1299" w:name="_Toc22091"/>
      <w:bookmarkStart w:id="1300" w:name="_Toc27729"/>
      <w:bookmarkStart w:id="1301" w:name="_Toc25730"/>
      <w:bookmarkStart w:id="1302" w:name="_Toc12053"/>
      <w:bookmarkStart w:id="1303" w:name="_Toc2308"/>
      <w:bookmarkStart w:id="1304" w:name="_Toc14855"/>
      <w:bookmarkStart w:id="1305" w:name="_Toc13563"/>
      <w:bookmarkStart w:id="1306" w:name="_Toc26150"/>
      <w:bookmarkStart w:id="1307" w:name="_Toc27443"/>
      <w:bookmarkStart w:id="1308" w:name="_Toc14587"/>
      <w:bookmarkStart w:id="1309" w:name="_Toc21893"/>
      <w:bookmarkStart w:id="1310" w:name="_Toc8674"/>
      <w:bookmarkStart w:id="1311" w:name="_Toc16120"/>
      <w:bookmarkStart w:id="1312" w:name="_Toc19371"/>
      <w:r>
        <w:rPr>
          <w:rFonts w:hint="eastAsia" w:ascii="仿宋_GB2312"/>
          <w:highlight w:val="none"/>
        </w:rPr>
        <w:t>（三）支持推动夜间经济发展</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r>
        <w:rPr>
          <w:rFonts w:ascii="仿宋_GB2312"/>
          <w:highlight w:val="none"/>
        </w:rPr>
        <w:tab/>
      </w:r>
    </w:p>
    <w:p>
      <w:pPr>
        <w:keepNext w:val="0"/>
        <w:keepLines w:val="0"/>
        <w:pageBreakBefore w:val="0"/>
        <w:widowControl w:val="0"/>
        <w:wordWrap/>
        <w:topLinePunct w:val="0"/>
        <w:bidi w:val="0"/>
        <w:spacing w:beforeAutospacing="0" w:afterAutospacing="0" w:line="560" w:lineRule="exact"/>
        <w:ind w:left="0" w:leftChars="0" w:firstLine="640"/>
        <w:rPr>
          <w:rFonts w:ascii="仿宋_GB2312" w:hAnsi="仿宋_GB2312" w:cs="仿宋_GB2312"/>
          <w:bCs/>
          <w:szCs w:val="32"/>
          <w:highlight w:val="none"/>
        </w:rPr>
      </w:pPr>
      <w:r>
        <w:rPr>
          <w:rFonts w:hint="eastAsia" w:ascii="仿宋_GB2312" w:hAnsi="仿宋_GB2312" w:cs="仿宋_GB2312"/>
          <w:bCs/>
          <w:szCs w:val="32"/>
          <w:highlight w:val="none"/>
        </w:rPr>
        <w:t>支持辖区商业企业或商业综合体开展特色夜间活动，对经申报核准资助的活动按不超过实际投入额的50%予以补贴，单个主体每年资助金额最高50万元。</w:t>
      </w:r>
    </w:p>
    <w:p>
      <w:pPr>
        <w:keepNext w:val="0"/>
        <w:keepLines w:val="0"/>
        <w:pageBreakBefore w:val="0"/>
        <w:widowControl w:val="0"/>
        <w:wordWrap/>
        <w:topLinePunct w:val="0"/>
        <w:bidi w:val="0"/>
        <w:spacing w:beforeAutospacing="0" w:afterAutospacing="0" w:line="560" w:lineRule="exact"/>
        <w:ind w:left="0" w:leftChars="0" w:firstLine="640"/>
        <w:rPr>
          <w:rFonts w:ascii="仿宋_GB2312"/>
          <w:highlight w:val="none"/>
        </w:rPr>
      </w:pPr>
      <w:r>
        <w:rPr>
          <w:rFonts w:hint="eastAsia" w:ascii="仿宋_GB2312"/>
          <w:highlight w:val="none"/>
        </w:rPr>
        <w:t>对达到市资助标准的南山区特色商圈（步行街）及夜间经济示范街区，按照</w:t>
      </w:r>
      <w:r>
        <w:rPr>
          <w:rFonts w:hint="eastAsia" w:ascii="仿宋_GB2312" w:cs="仿宋_GB2312"/>
          <w:highlight w:val="none"/>
        </w:rPr>
        <w:t>市财政奖励</w:t>
      </w:r>
      <w:r>
        <w:rPr>
          <w:rFonts w:hint="eastAsia" w:ascii="仿宋_GB2312"/>
          <w:highlight w:val="none"/>
        </w:rPr>
        <w:t>金额1:1给予经营主体最高</w:t>
      </w:r>
      <w:r>
        <w:rPr>
          <w:rFonts w:ascii="仿宋_GB2312" w:cs="仿宋_GB2312"/>
          <w:szCs w:val="32"/>
          <w:highlight w:val="none"/>
        </w:rPr>
        <w:t>1000</w:t>
      </w:r>
      <w:r>
        <w:rPr>
          <w:rFonts w:hint="eastAsia" w:ascii="仿宋_GB2312"/>
          <w:highlight w:val="none"/>
        </w:rPr>
        <w:t>万元奖励。</w:t>
      </w:r>
    </w:p>
    <w:p>
      <w:pPr>
        <w:pStyle w:val="4"/>
        <w:keepNext w:val="0"/>
        <w:keepLines w:val="0"/>
        <w:pageBreakBefore w:val="0"/>
        <w:widowControl w:val="0"/>
        <w:wordWrap/>
        <w:topLinePunct w:val="0"/>
        <w:bidi w:val="0"/>
        <w:spacing w:beforeAutospacing="0" w:afterAutospacing="0" w:line="560" w:lineRule="exact"/>
        <w:ind w:left="0" w:leftChars="0" w:firstLine="643"/>
        <w:rPr>
          <w:rFonts w:hint="eastAsia" w:ascii="仿宋_GB2312" w:eastAsia="仿宋_GB2312"/>
          <w:highlight w:val="none"/>
        </w:rPr>
      </w:pPr>
      <w:bookmarkStart w:id="1313" w:name="_Toc12043"/>
      <w:bookmarkStart w:id="1314" w:name="_Toc28070"/>
      <w:bookmarkStart w:id="1315" w:name="_Toc19649"/>
      <w:bookmarkStart w:id="1316" w:name="_Toc2117"/>
      <w:bookmarkStart w:id="1317" w:name="_Toc16913"/>
      <w:bookmarkStart w:id="1318" w:name="_Toc7682"/>
      <w:bookmarkStart w:id="1319" w:name="_Toc14817"/>
      <w:bookmarkStart w:id="1320" w:name="_Toc3174"/>
      <w:bookmarkStart w:id="1321" w:name="_Toc12767"/>
      <w:bookmarkStart w:id="1322" w:name="_Toc2564"/>
      <w:bookmarkStart w:id="1323" w:name="_Toc14129"/>
      <w:bookmarkStart w:id="1324" w:name="_Toc25117"/>
      <w:bookmarkStart w:id="1325" w:name="_Toc21669"/>
      <w:bookmarkStart w:id="1326" w:name="_Toc8738"/>
      <w:bookmarkStart w:id="1327" w:name="_Toc19248"/>
      <w:bookmarkStart w:id="1328" w:name="_Toc24939"/>
      <w:bookmarkStart w:id="1329" w:name="_Toc20977"/>
      <w:bookmarkStart w:id="1330" w:name="_Toc22089"/>
      <w:bookmarkStart w:id="1331" w:name="_Toc18191"/>
      <w:bookmarkStart w:id="1332" w:name="_Toc17995"/>
      <w:bookmarkStart w:id="1333" w:name="_Toc32134"/>
      <w:bookmarkStart w:id="1334" w:name="_Toc24248"/>
      <w:bookmarkStart w:id="1335" w:name="_Toc18704"/>
      <w:bookmarkStart w:id="1336" w:name="_Toc23346"/>
      <w:bookmarkStart w:id="1337" w:name="_Toc24032"/>
      <w:bookmarkStart w:id="1338" w:name="_Toc30556"/>
      <w:bookmarkStart w:id="1339" w:name="_Toc8546"/>
      <w:bookmarkStart w:id="1340" w:name="_Toc12190"/>
      <w:r>
        <w:rPr>
          <w:rFonts w:hint="eastAsia" w:ascii="仿宋_GB2312" w:eastAsia="仿宋_GB2312"/>
          <w:highlight w:val="none"/>
        </w:rPr>
        <w:t>（四）鼓励商业企业纳统入库</w:t>
      </w:r>
    </w:p>
    <w:p>
      <w:pPr>
        <w:keepNext w:val="0"/>
        <w:keepLines w:val="0"/>
        <w:pageBreakBefore w:val="0"/>
        <w:widowControl w:val="0"/>
        <w:wordWrap/>
        <w:topLinePunct w:val="0"/>
        <w:bidi w:val="0"/>
        <w:spacing w:beforeAutospacing="0" w:afterAutospacing="0" w:line="560" w:lineRule="exact"/>
        <w:ind w:left="0" w:leftChars="0" w:firstLine="640"/>
        <w:rPr>
          <w:rFonts w:ascii="仿宋_GB2312"/>
          <w:highlight w:val="none"/>
        </w:rPr>
      </w:pPr>
      <w:r>
        <w:rPr>
          <w:rFonts w:hint="eastAsia" w:ascii="仿宋_GB2312"/>
          <w:highlight w:val="none"/>
        </w:rPr>
        <w:t>对首次纳入区</w:t>
      </w:r>
      <w:r>
        <w:rPr>
          <w:rFonts w:hint="eastAsia"/>
          <w:highlight w:val="none"/>
        </w:rPr>
        <w:t>“四上”统计库</w:t>
      </w:r>
      <w:r>
        <w:rPr>
          <w:rFonts w:hint="eastAsia" w:ascii="仿宋_GB2312"/>
          <w:highlight w:val="none"/>
        </w:rPr>
        <w:t>的零售、住宿、餐饮行业单位，入库后稳定完成次年全年报表且实现销售额（营业额）正增长的，给予</w:t>
      </w:r>
      <w:r>
        <w:rPr>
          <w:rFonts w:hint="eastAsia" w:ascii="仿宋_GB2312" w:hAnsi="仿宋_GB2312" w:cs="仿宋_GB2312"/>
          <w:szCs w:val="32"/>
          <w:highlight w:val="none"/>
        </w:rPr>
        <w:t>10</w:t>
      </w:r>
      <w:r>
        <w:rPr>
          <w:rFonts w:hint="eastAsia" w:ascii="仿宋_GB2312"/>
          <w:highlight w:val="none"/>
        </w:rPr>
        <w:t>万元奖励。</w:t>
      </w:r>
    </w:p>
    <w:p>
      <w:pPr>
        <w:pStyle w:val="4"/>
        <w:keepNext w:val="0"/>
        <w:keepLines w:val="0"/>
        <w:pageBreakBefore w:val="0"/>
        <w:widowControl w:val="0"/>
        <w:wordWrap/>
        <w:topLinePunct w:val="0"/>
        <w:bidi w:val="0"/>
        <w:spacing w:beforeAutospacing="0" w:afterAutospacing="0" w:line="560" w:lineRule="exact"/>
        <w:ind w:left="0" w:leftChars="0" w:firstLine="643"/>
        <w:rPr>
          <w:rFonts w:ascii="仿宋_GB2312" w:eastAsia="仿宋_GB2312"/>
          <w:highlight w:val="none"/>
        </w:rPr>
      </w:pPr>
      <w:r>
        <w:rPr>
          <w:rFonts w:hint="eastAsia" w:ascii="仿宋_GB2312" w:eastAsia="仿宋_GB2312"/>
          <w:highlight w:val="none"/>
        </w:rPr>
        <w:t>（五）鼓励商业企业做大做强</w:t>
      </w:r>
    </w:p>
    <w:p>
      <w:pPr>
        <w:keepNext w:val="0"/>
        <w:keepLines w:val="0"/>
        <w:pageBreakBefore w:val="0"/>
        <w:widowControl w:val="0"/>
        <w:numPr>
          <w:ilvl w:val="255"/>
          <w:numId w:val="0"/>
        </w:numPr>
        <w:wordWrap/>
        <w:topLinePunct w:val="0"/>
        <w:bidi w:val="0"/>
        <w:spacing w:beforeAutospacing="0" w:afterAutospacing="0" w:line="560" w:lineRule="exact"/>
        <w:ind w:left="0" w:leftChars="0" w:firstLine="640"/>
        <w:rPr>
          <w:rFonts w:ascii="仿宋_GB2312" w:hAnsi="Times New Roman"/>
          <w:kern w:val="0"/>
          <w:szCs w:val="32"/>
          <w:highlight w:val="none"/>
        </w:rPr>
      </w:pPr>
      <w:r>
        <w:rPr>
          <w:rFonts w:hint="eastAsia" w:ascii="仿宋_GB2312" w:hAnsi="Times New Roman"/>
          <w:kern w:val="0"/>
          <w:szCs w:val="32"/>
          <w:highlight w:val="none"/>
        </w:rPr>
        <w:t>自2023年起，对上年度快报销售额（营业额）分别达到15亿元、1亿元、2000万元、2000万元及以上且达到一定增速、年报增加值大于零的批发、零售、住宿、餐饮</w:t>
      </w:r>
      <w:r>
        <w:rPr>
          <w:rFonts w:hint="eastAsia" w:ascii="仿宋_GB2312"/>
          <w:highlight w:val="none"/>
        </w:rPr>
        <w:t>行业单位</w:t>
      </w:r>
      <w:r>
        <w:rPr>
          <w:rFonts w:hint="eastAsia" w:ascii="仿宋_GB2312" w:hAnsi="Times New Roman"/>
          <w:kern w:val="0"/>
          <w:szCs w:val="32"/>
          <w:highlight w:val="none"/>
        </w:rPr>
        <w:t>，按照不超过年报增加值增量的6%给予资助，每家单位每年资助上限根据企业所属行业分类设定，最高500万元。</w:t>
      </w:r>
    </w:p>
    <w:p>
      <w:pPr>
        <w:pStyle w:val="4"/>
        <w:keepNext w:val="0"/>
        <w:keepLines w:val="0"/>
        <w:pageBreakBefore w:val="0"/>
        <w:widowControl w:val="0"/>
        <w:numPr>
          <w:ilvl w:val="0"/>
          <w:numId w:val="0"/>
        </w:numPr>
        <w:wordWrap/>
        <w:topLinePunct w:val="0"/>
        <w:bidi w:val="0"/>
        <w:spacing w:beforeAutospacing="0" w:afterAutospacing="0" w:line="560" w:lineRule="exact"/>
        <w:ind w:left="0" w:leftChars="0" w:firstLine="643" w:firstLineChars="200"/>
        <w:rPr>
          <w:rFonts w:hint="eastAsia" w:ascii="楷体_GB2312" w:hAnsi="楷体_GB2312" w:eastAsia="楷体_GB2312" w:cs="楷体_GB2312"/>
          <w:b/>
          <w:kern w:val="2"/>
          <w:sz w:val="32"/>
          <w:szCs w:val="24"/>
          <w:highlight w:val="none"/>
          <w:lang w:val="en-US" w:eastAsia="zh-CN" w:bidi="ar-SA"/>
        </w:rPr>
      </w:pPr>
      <w:r>
        <w:rPr>
          <w:rFonts w:hint="eastAsia" w:ascii="楷体_GB2312" w:hAnsi="楷体_GB2312" w:eastAsia="楷体_GB2312" w:cs="楷体_GB2312"/>
          <w:b/>
          <w:kern w:val="2"/>
          <w:sz w:val="32"/>
          <w:szCs w:val="24"/>
          <w:highlight w:val="none"/>
          <w:lang w:val="en-US" w:eastAsia="zh-CN" w:bidi="ar-SA"/>
        </w:rPr>
        <w:t>第七条  支持企业走出去发展战略</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r>
        <w:rPr>
          <w:rFonts w:hint="eastAsia" w:ascii="楷体_GB2312" w:hAnsi="楷体_GB2312" w:eastAsia="楷体_GB2312" w:cs="楷体_GB2312"/>
          <w:b/>
          <w:kern w:val="2"/>
          <w:sz w:val="32"/>
          <w:szCs w:val="24"/>
          <w:highlight w:val="none"/>
          <w:lang w:val="en-US" w:eastAsia="zh-CN" w:bidi="ar-SA"/>
        </w:rPr>
        <w:tab/>
      </w:r>
    </w:p>
    <w:p>
      <w:pPr>
        <w:pStyle w:val="4"/>
        <w:keepNext w:val="0"/>
        <w:keepLines w:val="0"/>
        <w:pageBreakBefore w:val="0"/>
        <w:widowControl w:val="0"/>
        <w:wordWrap/>
        <w:topLinePunct w:val="0"/>
        <w:bidi w:val="0"/>
        <w:spacing w:beforeAutospacing="0" w:afterAutospacing="0" w:line="560" w:lineRule="exact"/>
        <w:ind w:left="0" w:leftChars="0" w:firstLine="643" w:firstLineChars="200"/>
        <w:rPr>
          <w:rFonts w:hint="eastAsia" w:ascii="仿宋_GB2312"/>
          <w:highlight w:val="none"/>
        </w:rPr>
      </w:pPr>
      <w:bookmarkStart w:id="1341" w:name="_Toc14505"/>
      <w:bookmarkStart w:id="1342" w:name="_Toc14814"/>
      <w:bookmarkStart w:id="1343" w:name="_Toc23848"/>
      <w:bookmarkStart w:id="1344" w:name="_Toc12381"/>
      <w:bookmarkStart w:id="1345" w:name="_Toc25552"/>
      <w:bookmarkStart w:id="1346" w:name="_Toc4211"/>
      <w:bookmarkStart w:id="1347" w:name="_Toc22810"/>
      <w:bookmarkStart w:id="1348" w:name="_Toc18577"/>
      <w:bookmarkStart w:id="1349" w:name="_Toc28185"/>
      <w:bookmarkStart w:id="1350" w:name="_Toc15773"/>
      <w:bookmarkStart w:id="1351" w:name="_Toc19283"/>
      <w:bookmarkStart w:id="1352" w:name="_Toc7123"/>
      <w:bookmarkStart w:id="1353" w:name="_Toc10948"/>
      <w:bookmarkStart w:id="1354" w:name="_Toc18277"/>
      <w:bookmarkStart w:id="1355" w:name="_Toc20770"/>
      <w:bookmarkStart w:id="1356" w:name="_Toc15343"/>
      <w:bookmarkStart w:id="1357" w:name="_Toc9194"/>
      <w:bookmarkStart w:id="1358" w:name="_Toc9774"/>
      <w:bookmarkStart w:id="1359" w:name="_Toc14043"/>
      <w:bookmarkStart w:id="1360" w:name="_Toc11683"/>
      <w:bookmarkStart w:id="1361" w:name="_Toc26393"/>
      <w:bookmarkStart w:id="1362" w:name="_Toc12835"/>
      <w:bookmarkStart w:id="1363" w:name="_Toc7108"/>
      <w:bookmarkStart w:id="1364" w:name="_Toc16910"/>
      <w:bookmarkStart w:id="1365" w:name="_Toc27604"/>
      <w:bookmarkStart w:id="1366" w:name="_Toc10974"/>
      <w:bookmarkStart w:id="1367" w:name="_Toc30925"/>
      <w:bookmarkStart w:id="1368" w:name="_Toc17539"/>
      <w:r>
        <w:rPr>
          <w:rFonts w:hint="eastAsia" w:ascii="仿宋_GB2312"/>
          <w:highlight w:val="none"/>
        </w:rPr>
        <w:t>（一）鼓励企业拓展海外市场</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p>
    <w:p>
      <w:pPr>
        <w:keepNext w:val="0"/>
        <w:keepLines w:val="0"/>
        <w:pageBreakBefore w:val="0"/>
        <w:widowControl w:val="0"/>
        <w:wordWrap/>
        <w:topLinePunct w:val="0"/>
        <w:bidi w:val="0"/>
        <w:spacing w:beforeAutospacing="0" w:afterAutospacing="0" w:line="560" w:lineRule="exact"/>
        <w:ind w:left="0" w:leftChars="0" w:firstLine="640"/>
        <w:rPr>
          <w:rFonts w:ascii="仿宋_GB2312"/>
          <w:highlight w:val="none"/>
        </w:rPr>
      </w:pPr>
      <w:r>
        <w:rPr>
          <w:rFonts w:hint="eastAsia" w:ascii="仿宋_GB2312"/>
          <w:highlight w:val="none"/>
        </w:rPr>
        <w:t>对于购买国家指定从事出口信用保险业务的专业保险机构一年期以内出口信用保险的符合有关条件的企业，按不超过企业实际支付保费</w:t>
      </w:r>
      <w:r>
        <w:rPr>
          <w:rFonts w:ascii="仿宋_GB2312" w:hAnsi="仿宋_GB2312" w:cs="仿宋_GB2312"/>
          <w:highlight w:val="none"/>
        </w:rPr>
        <w:t>50</w:t>
      </w:r>
      <w:r>
        <w:rPr>
          <w:rFonts w:hint="eastAsia" w:ascii="仿宋_GB2312"/>
          <w:highlight w:val="none"/>
        </w:rPr>
        <w:t>%的比例给予资助（已获市补助的，市、区补助比例合计最高不超过</w:t>
      </w:r>
      <w:r>
        <w:rPr>
          <w:rFonts w:ascii="仿宋_GB2312" w:hAnsi="仿宋_GB2312" w:cs="仿宋_GB2312"/>
          <w:highlight w:val="none"/>
        </w:rPr>
        <w:t>100</w:t>
      </w:r>
      <w:r>
        <w:rPr>
          <w:rFonts w:hint="eastAsia" w:ascii="仿宋_GB2312"/>
          <w:highlight w:val="none"/>
        </w:rPr>
        <w:t>%），每家企业每年最高</w:t>
      </w:r>
      <w:r>
        <w:rPr>
          <w:rFonts w:ascii="仿宋_GB2312" w:hAnsi="仿宋_GB2312" w:cs="仿宋_GB2312"/>
          <w:highlight w:val="none"/>
        </w:rPr>
        <w:t>300</w:t>
      </w:r>
      <w:r>
        <w:rPr>
          <w:rFonts w:hint="eastAsia" w:ascii="仿宋_GB2312"/>
          <w:highlight w:val="none"/>
        </w:rPr>
        <w:t>万元。政府为符合条件的企业统一投保出口信用保险，支持中小微企业开拓国际市场，防范贸易风险，便利贸易融资。</w:t>
      </w:r>
    </w:p>
    <w:p>
      <w:pPr>
        <w:pStyle w:val="4"/>
        <w:keepNext w:val="0"/>
        <w:keepLines w:val="0"/>
        <w:pageBreakBefore w:val="0"/>
        <w:widowControl w:val="0"/>
        <w:wordWrap/>
        <w:topLinePunct w:val="0"/>
        <w:bidi w:val="0"/>
        <w:spacing w:beforeAutospacing="0" w:afterAutospacing="0" w:line="560" w:lineRule="exact"/>
        <w:ind w:left="0" w:leftChars="0" w:firstLine="643"/>
        <w:rPr>
          <w:rFonts w:ascii="仿宋_GB2312"/>
          <w:highlight w:val="none"/>
        </w:rPr>
      </w:pPr>
      <w:bookmarkStart w:id="1369" w:name="_Toc9510"/>
      <w:bookmarkStart w:id="1370" w:name="_Toc17873"/>
      <w:bookmarkStart w:id="1371" w:name="_Toc32228"/>
      <w:bookmarkStart w:id="1372" w:name="_Toc21604"/>
      <w:bookmarkStart w:id="1373" w:name="_Toc10137"/>
      <w:bookmarkStart w:id="1374" w:name="_Toc21641"/>
      <w:bookmarkStart w:id="1375" w:name="_Toc14852"/>
      <w:bookmarkStart w:id="1376" w:name="_Toc10014"/>
      <w:bookmarkStart w:id="1377" w:name="_Toc21275"/>
      <w:bookmarkStart w:id="1378" w:name="_Toc21947"/>
      <w:bookmarkStart w:id="1379" w:name="_Toc27114"/>
      <w:bookmarkStart w:id="1380" w:name="_Toc17707"/>
      <w:bookmarkStart w:id="1381" w:name="_Toc21418"/>
      <w:bookmarkStart w:id="1382" w:name="_Toc17791"/>
      <w:bookmarkStart w:id="1383" w:name="_Toc20257"/>
      <w:bookmarkStart w:id="1384" w:name="_Toc19841"/>
      <w:bookmarkStart w:id="1385" w:name="_Toc9964"/>
      <w:bookmarkStart w:id="1386" w:name="_Toc28890"/>
      <w:bookmarkStart w:id="1387" w:name="_Toc28729"/>
      <w:bookmarkStart w:id="1388" w:name="_Toc6959"/>
      <w:bookmarkStart w:id="1389" w:name="_Toc11239"/>
      <w:bookmarkStart w:id="1390" w:name="_Toc13690"/>
      <w:bookmarkStart w:id="1391" w:name="_Toc6829"/>
      <w:bookmarkStart w:id="1392" w:name="_Toc6543"/>
      <w:bookmarkStart w:id="1393" w:name="_Toc24056"/>
      <w:bookmarkStart w:id="1394" w:name="_Toc28678"/>
      <w:bookmarkStart w:id="1395" w:name="_Toc5414"/>
      <w:bookmarkStart w:id="1396" w:name="_Toc20235"/>
      <w:r>
        <w:rPr>
          <w:rFonts w:hint="eastAsia" w:ascii="仿宋_GB2312"/>
          <w:highlight w:val="none"/>
        </w:rPr>
        <w:t>（二）推动跨境电商企业发展</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r>
        <w:rPr>
          <w:rFonts w:ascii="仿宋_GB2312"/>
          <w:highlight w:val="none"/>
        </w:rPr>
        <w:tab/>
      </w:r>
    </w:p>
    <w:p>
      <w:pPr>
        <w:keepNext w:val="0"/>
        <w:keepLines w:val="0"/>
        <w:pageBreakBefore w:val="0"/>
        <w:widowControl w:val="0"/>
        <w:wordWrap/>
        <w:topLinePunct w:val="0"/>
        <w:bidi w:val="0"/>
        <w:spacing w:beforeAutospacing="0" w:afterAutospacing="0" w:line="560" w:lineRule="exact"/>
        <w:ind w:left="0" w:leftChars="0" w:firstLine="640"/>
        <w:rPr>
          <w:rFonts w:ascii="仿宋_GB2312"/>
          <w:highlight w:val="none"/>
        </w:rPr>
      </w:pPr>
      <w:r>
        <w:rPr>
          <w:rFonts w:hint="eastAsia" w:ascii="仿宋_GB2312"/>
          <w:highlight w:val="none"/>
        </w:rPr>
        <w:t>对注册地和经营地位于深圳前海湾保税港区域内，以</w:t>
      </w:r>
      <w:r>
        <w:rPr>
          <w:rFonts w:ascii="仿宋_GB2312" w:hAnsi="仿宋_GB2312" w:cs="仿宋_GB2312"/>
          <w:szCs w:val="32"/>
          <w:highlight w:val="none"/>
        </w:rPr>
        <w:t>9610</w:t>
      </w:r>
      <w:r>
        <w:rPr>
          <w:rFonts w:hint="eastAsia" w:ascii="仿宋_GB2312"/>
          <w:highlight w:val="none"/>
        </w:rPr>
        <w:t>和</w:t>
      </w:r>
      <w:r>
        <w:rPr>
          <w:rFonts w:ascii="仿宋_GB2312" w:hAnsi="仿宋_GB2312" w:cs="仿宋_GB2312"/>
          <w:szCs w:val="32"/>
          <w:highlight w:val="none"/>
        </w:rPr>
        <w:t>1210</w:t>
      </w:r>
      <w:r>
        <w:rPr>
          <w:rFonts w:hint="eastAsia" w:ascii="仿宋_GB2312"/>
          <w:highlight w:val="none"/>
        </w:rPr>
        <w:t>海关模式开展跨境电商进出口业务的企业，按照企业上一年度仓储租金的</w:t>
      </w:r>
      <w:r>
        <w:rPr>
          <w:rFonts w:ascii="仿宋_GB2312" w:hAnsi="仿宋_GB2312" w:cs="仿宋_GB2312"/>
          <w:szCs w:val="32"/>
          <w:highlight w:val="none"/>
        </w:rPr>
        <w:t>15</w:t>
      </w:r>
      <w:r>
        <w:rPr>
          <w:rFonts w:hint="eastAsia" w:ascii="仿宋_GB2312"/>
          <w:highlight w:val="none"/>
        </w:rPr>
        <w:t>%给予补贴，每家企业每年可申报一次，资助金额最高</w:t>
      </w:r>
      <w:r>
        <w:rPr>
          <w:rFonts w:ascii="仿宋_GB2312" w:hAnsi="仿宋_GB2312" w:cs="仿宋_GB2312"/>
          <w:szCs w:val="32"/>
          <w:highlight w:val="none"/>
        </w:rPr>
        <w:t>50</w:t>
      </w:r>
      <w:r>
        <w:rPr>
          <w:rFonts w:hint="eastAsia" w:ascii="仿宋_GB2312"/>
          <w:highlight w:val="none"/>
        </w:rPr>
        <w:t>万元。</w:t>
      </w:r>
    </w:p>
    <w:p>
      <w:pPr>
        <w:pStyle w:val="4"/>
        <w:keepNext w:val="0"/>
        <w:keepLines w:val="0"/>
        <w:pageBreakBefore w:val="0"/>
        <w:widowControl w:val="0"/>
        <w:wordWrap/>
        <w:topLinePunct w:val="0"/>
        <w:bidi w:val="0"/>
        <w:spacing w:beforeAutospacing="0" w:afterAutospacing="0" w:line="560" w:lineRule="exact"/>
        <w:ind w:left="0" w:leftChars="0" w:firstLine="643"/>
        <w:rPr>
          <w:rFonts w:ascii="仿宋_GB2312"/>
          <w:highlight w:val="none"/>
        </w:rPr>
      </w:pPr>
      <w:bookmarkStart w:id="1397" w:name="_Toc15026"/>
      <w:bookmarkStart w:id="1398" w:name="_Toc5525"/>
      <w:bookmarkStart w:id="1399" w:name="_Toc31305"/>
      <w:bookmarkStart w:id="1400" w:name="_Toc9308"/>
      <w:bookmarkStart w:id="1401" w:name="_Toc13671"/>
      <w:bookmarkStart w:id="1402" w:name="_Toc29085"/>
      <w:bookmarkStart w:id="1403" w:name="_Toc8751"/>
      <w:bookmarkStart w:id="1404" w:name="_Toc17911"/>
      <w:bookmarkStart w:id="1405" w:name="_Toc13906"/>
      <w:bookmarkStart w:id="1406" w:name="_Toc23869"/>
      <w:bookmarkStart w:id="1407" w:name="_Toc10405"/>
      <w:bookmarkStart w:id="1408" w:name="_Toc31717"/>
      <w:bookmarkStart w:id="1409" w:name="_Toc32751"/>
      <w:bookmarkStart w:id="1410" w:name="_Toc6911"/>
      <w:bookmarkStart w:id="1411" w:name="_Toc13912"/>
      <w:bookmarkStart w:id="1412" w:name="_Toc2172"/>
      <w:bookmarkStart w:id="1413" w:name="_Toc30943"/>
      <w:bookmarkStart w:id="1414" w:name="_Toc30203"/>
      <w:bookmarkStart w:id="1415" w:name="_Toc12405"/>
      <w:bookmarkStart w:id="1416" w:name="_Toc27231"/>
      <w:bookmarkStart w:id="1417" w:name="_Toc29781"/>
      <w:bookmarkStart w:id="1418" w:name="_Toc21955"/>
      <w:bookmarkStart w:id="1419" w:name="_Toc16581"/>
      <w:bookmarkStart w:id="1420" w:name="_Toc12744"/>
      <w:bookmarkStart w:id="1421" w:name="_Toc10211"/>
      <w:bookmarkStart w:id="1422" w:name="_Toc11884"/>
      <w:bookmarkStart w:id="1423" w:name="_Toc28188"/>
      <w:bookmarkStart w:id="1424" w:name="_Toc1928"/>
      <w:r>
        <w:rPr>
          <w:rFonts w:hint="eastAsia" w:ascii="仿宋_GB2312"/>
          <w:highlight w:val="none"/>
        </w:rPr>
        <w:t>（三）支持企业参加重点展会或活动</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r>
        <w:rPr>
          <w:rFonts w:ascii="仿宋_GB2312"/>
          <w:highlight w:val="none"/>
        </w:rPr>
        <w:tab/>
      </w:r>
    </w:p>
    <w:p>
      <w:pPr>
        <w:keepNext w:val="0"/>
        <w:keepLines w:val="0"/>
        <w:pageBreakBefore w:val="0"/>
        <w:widowControl w:val="0"/>
        <w:wordWrap/>
        <w:topLinePunct w:val="0"/>
        <w:bidi w:val="0"/>
        <w:spacing w:beforeAutospacing="0" w:afterAutospacing="0" w:line="560" w:lineRule="exact"/>
        <w:ind w:left="0" w:leftChars="0" w:firstLine="640"/>
        <w:rPr>
          <w:rFonts w:ascii="仿宋_GB2312"/>
          <w:highlight w:val="none"/>
        </w:rPr>
      </w:pPr>
      <w:r>
        <w:rPr>
          <w:rFonts w:hint="eastAsia" w:ascii="仿宋_GB2312"/>
          <w:highlight w:val="none"/>
        </w:rPr>
        <w:t>鼓励企业参加经认定的境内外重点展会活动，给予参展企业最高</w:t>
      </w:r>
      <w:r>
        <w:rPr>
          <w:rFonts w:ascii="仿宋_GB2312" w:hAnsi="仿宋_GB2312" w:cs="仿宋_GB2312"/>
          <w:highlight w:val="none"/>
        </w:rPr>
        <w:t>50</w:t>
      </w:r>
      <w:r>
        <w:rPr>
          <w:rFonts w:hint="eastAsia" w:ascii="仿宋_GB2312"/>
          <w:highlight w:val="none"/>
        </w:rPr>
        <w:t>%的展位费补贴；鼓励重点出口企业参加境外展会活动，给予参展企业最高</w:t>
      </w:r>
      <w:r>
        <w:rPr>
          <w:rFonts w:ascii="仿宋_GB2312" w:hAnsi="仿宋_GB2312" w:cs="仿宋_GB2312"/>
          <w:highlight w:val="none"/>
        </w:rPr>
        <w:t>50</w:t>
      </w:r>
      <w:r>
        <w:rPr>
          <w:rFonts w:hint="eastAsia" w:ascii="仿宋_GB2312"/>
          <w:highlight w:val="none"/>
        </w:rPr>
        <w:t>%的展位费补贴。每家企业每年累计获得最高</w:t>
      </w:r>
      <w:r>
        <w:rPr>
          <w:rFonts w:ascii="仿宋_GB2312" w:hAnsi="仿宋_GB2312" w:cs="仿宋_GB2312"/>
          <w:highlight w:val="none"/>
        </w:rPr>
        <w:t>100</w:t>
      </w:r>
      <w:r>
        <w:rPr>
          <w:rFonts w:hint="eastAsia" w:ascii="仿宋_GB2312"/>
          <w:highlight w:val="none"/>
        </w:rPr>
        <w:t>万元的展位费补贴。</w:t>
      </w:r>
    </w:p>
    <w:p>
      <w:pPr>
        <w:keepNext w:val="0"/>
        <w:keepLines w:val="0"/>
        <w:pageBreakBefore w:val="0"/>
        <w:widowControl w:val="0"/>
        <w:wordWrap/>
        <w:topLinePunct w:val="0"/>
        <w:bidi w:val="0"/>
        <w:spacing w:beforeAutospacing="0" w:afterAutospacing="0" w:line="560" w:lineRule="exact"/>
        <w:ind w:left="0" w:leftChars="0" w:firstLine="640"/>
        <w:rPr>
          <w:rFonts w:ascii="仿宋_GB2312"/>
          <w:highlight w:val="none"/>
        </w:rPr>
      </w:pPr>
      <w:r>
        <w:rPr>
          <w:rFonts w:hint="eastAsia" w:ascii="仿宋_GB2312"/>
          <w:highlight w:val="none"/>
        </w:rPr>
        <w:t>对国家、省、市、区有关部门统一组织的重点展会或活动，可按相关规定予以资助。</w:t>
      </w:r>
    </w:p>
    <w:p>
      <w:pPr>
        <w:pStyle w:val="4"/>
        <w:keepNext w:val="0"/>
        <w:keepLines w:val="0"/>
        <w:pageBreakBefore w:val="0"/>
        <w:widowControl w:val="0"/>
        <w:wordWrap/>
        <w:topLinePunct w:val="0"/>
        <w:bidi w:val="0"/>
        <w:spacing w:beforeAutospacing="0" w:afterAutospacing="0" w:line="560" w:lineRule="exact"/>
        <w:ind w:left="0" w:leftChars="0" w:firstLine="643"/>
        <w:rPr>
          <w:rFonts w:ascii="仿宋_GB2312"/>
          <w:highlight w:val="none"/>
        </w:rPr>
      </w:pPr>
      <w:bookmarkStart w:id="1425" w:name="_Toc6791"/>
      <w:bookmarkStart w:id="1426" w:name="_Toc7994"/>
      <w:bookmarkStart w:id="1427" w:name="_Toc8645"/>
      <w:bookmarkStart w:id="1428" w:name="_Toc13299"/>
      <w:bookmarkStart w:id="1429" w:name="_Toc6657"/>
      <w:r>
        <w:rPr>
          <w:rFonts w:hint="eastAsia" w:ascii="仿宋_GB2312"/>
          <w:highlight w:val="none"/>
        </w:rPr>
        <w:t>（四）鼓励企业获取海关高级认证</w:t>
      </w:r>
      <w:bookmarkEnd w:id="1425"/>
      <w:bookmarkEnd w:id="1426"/>
      <w:bookmarkEnd w:id="1427"/>
      <w:bookmarkEnd w:id="1428"/>
      <w:bookmarkEnd w:id="1429"/>
    </w:p>
    <w:p>
      <w:pPr>
        <w:keepNext w:val="0"/>
        <w:keepLines w:val="0"/>
        <w:pageBreakBefore w:val="0"/>
        <w:widowControl w:val="0"/>
        <w:wordWrap/>
        <w:topLinePunct w:val="0"/>
        <w:bidi w:val="0"/>
        <w:spacing w:beforeAutospacing="0" w:afterAutospacing="0" w:line="560" w:lineRule="exact"/>
        <w:ind w:left="0" w:leftChars="0" w:firstLine="640"/>
        <w:rPr>
          <w:rFonts w:ascii="仿宋_GB2312"/>
          <w:highlight w:val="none"/>
        </w:rPr>
      </w:pPr>
      <w:r>
        <w:rPr>
          <w:rFonts w:hint="eastAsia" w:ascii="仿宋_GB2312"/>
          <w:highlight w:val="none"/>
        </w:rPr>
        <w:t>对首次通过AEO（Authorized</w:t>
      </w:r>
      <w:r>
        <w:rPr>
          <w:rFonts w:ascii="仿宋_GB2312"/>
          <w:highlight w:val="none"/>
        </w:rPr>
        <w:t xml:space="preserve"> Economic </w:t>
      </w:r>
      <w:r>
        <w:rPr>
          <w:rFonts w:hint="eastAsia" w:ascii="仿宋_GB2312"/>
          <w:highlight w:val="none"/>
        </w:rPr>
        <w:t>Operator）高级认证的企业，给予20万元/家一次性奖励；已获得高级认证，复审后又再次获得的，给予10万元/家一次性奖励。单个企业只能申请一次该项奖励。</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textAlignment w:val="auto"/>
        <w:rPr>
          <w:rFonts w:hint="eastAsia"/>
          <w:highlight w:val="none"/>
        </w:rPr>
      </w:pPr>
      <w:bookmarkStart w:id="1430" w:name="_Toc27316"/>
      <w:bookmarkStart w:id="1431" w:name="_Toc30422"/>
      <w:bookmarkStart w:id="1432" w:name="_Toc13814"/>
      <w:bookmarkStart w:id="1433" w:name="_Toc3279"/>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textAlignment w:val="auto"/>
        <w:rPr>
          <w:highlight w:val="none"/>
        </w:rPr>
      </w:pPr>
      <w:r>
        <w:rPr>
          <w:rFonts w:hint="eastAsia"/>
          <w:highlight w:val="none"/>
        </w:rPr>
        <w:t>第三章  附</w:t>
      </w:r>
      <w:r>
        <w:rPr>
          <w:rFonts w:hint="eastAsia"/>
          <w:highlight w:val="none"/>
          <w:lang w:val="en-US" w:eastAsia="zh-CN"/>
        </w:rPr>
        <w:t xml:space="preserve">  </w:t>
      </w:r>
      <w:r>
        <w:rPr>
          <w:rFonts w:hint="eastAsia"/>
          <w:highlight w:val="none"/>
        </w:rPr>
        <w:t>则</w:t>
      </w:r>
      <w:bookmarkEnd w:id="1430"/>
      <w:bookmarkEnd w:id="1431"/>
      <w:bookmarkEnd w:id="1432"/>
      <w:bookmarkEnd w:id="1433"/>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textAlignment w:val="auto"/>
        <w:rPr>
          <w:rFonts w:hint="eastAsia" w:ascii="楷体_GB2312" w:eastAsia="楷体_GB2312"/>
          <w:b/>
          <w:bCs/>
          <w:highlight w:val="none"/>
        </w:rPr>
      </w:pPr>
    </w:p>
    <w:p>
      <w:pPr>
        <w:keepNext w:val="0"/>
        <w:keepLines w:val="0"/>
        <w:pageBreakBefore w:val="0"/>
        <w:widowControl w:val="0"/>
        <w:wordWrap/>
        <w:topLinePunct w:val="0"/>
        <w:bidi w:val="0"/>
        <w:spacing w:beforeAutospacing="0" w:afterAutospacing="0" w:line="560" w:lineRule="exact"/>
        <w:ind w:left="0" w:leftChars="0" w:firstLine="643"/>
        <w:rPr>
          <w:highlight w:val="none"/>
        </w:rPr>
      </w:pPr>
      <w:r>
        <w:rPr>
          <w:rFonts w:hint="eastAsia" w:ascii="楷体_GB2312" w:hAnsi="楷体_GB2312" w:eastAsia="楷体_GB2312" w:cs="楷体_GB2312"/>
          <w:b/>
          <w:kern w:val="2"/>
          <w:sz w:val="32"/>
          <w:szCs w:val="24"/>
          <w:highlight w:val="none"/>
          <w:lang w:val="en-US" w:eastAsia="zh-CN" w:bidi="ar-SA"/>
        </w:rPr>
        <w:t xml:space="preserve">第八条 </w:t>
      </w:r>
      <w:r>
        <w:rPr>
          <w:rFonts w:hint="eastAsia"/>
          <w:highlight w:val="none"/>
        </w:rPr>
        <w:t xml:space="preserve"> 本措施尚未涵盖但对辖区经济</w:t>
      </w:r>
      <w:r>
        <w:rPr>
          <w:highlight w:val="none"/>
        </w:rPr>
        <w:t>发展</w:t>
      </w:r>
      <w:r>
        <w:rPr>
          <w:rFonts w:hint="eastAsia"/>
          <w:highlight w:val="none"/>
        </w:rPr>
        <w:t>有重要影响的事项或上级部门有明确要求的事项，由相关单位直接向区主管部门提出申请，主管部门提出受理意见，按“一事一议”的方式报区自主创新产业发展专项资金领导小组会议审议。</w:t>
      </w:r>
    </w:p>
    <w:p>
      <w:pPr>
        <w:keepNext w:val="0"/>
        <w:keepLines w:val="0"/>
        <w:pageBreakBefore w:val="0"/>
        <w:widowControl w:val="0"/>
        <w:wordWrap/>
        <w:topLinePunct w:val="0"/>
        <w:bidi w:val="0"/>
        <w:spacing w:beforeAutospacing="0" w:afterAutospacing="0" w:line="560" w:lineRule="exact"/>
        <w:ind w:left="0" w:leftChars="0" w:firstLine="643"/>
        <w:rPr>
          <w:rFonts w:hint="eastAsia"/>
          <w:highlight w:val="none"/>
        </w:rPr>
      </w:pPr>
      <w:r>
        <w:rPr>
          <w:rFonts w:hint="eastAsia" w:ascii="楷体_GB2312" w:eastAsia="楷体_GB2312"/>
          <w:b/>
          <w:bCs/>
          <w:highlight w:val="none"/>
        </w:rPr>
        <w:t>第九条</w:t>
      </w:r>
      <w:r>
        <w:rPr>
          <w:highlight w:val="none"/>
        </w:rPr>
        <w:t xml:space="preserve">  </w:t>
      </w:r>
      <w:r>
        <w:rPr>
          <w:rFonts w:hint="eastAsia"/>
          <w:highlight w:val="none"/>
        </w:rPr>
        <w:t>本措施自发布之日起施行，有效期三年。</w:t>
      </w:r>
    </w:p>
    <w:p>
      <w:pPr>
        <w:keepNext w:val="0"/>
        <w:keepLines w:val="0"/>
        <w:pageBreakBefore w:val="0"/>
        <w:widowControl w:val="0"/>
        <w:wordWrap/>
        <w:topLinePunct w:val="0"/>
        <w:bidi w:val="0"/>
        <w:spacing w:beforeAutospacing="0" w:afterAutospacing="0" w:line="560" w:lineRule="exact"/>
        <w:ind w:left="0" w:leftChars="0" w:firstLine="643" w:firstLineChars="200"/>
        <w:rPr>
          <w:rFonts w:hint="eastAsia"/>
          <w:highlight w:val="none"/>
        </w:rPr>
      </w:pPr>
      <w:r>
        <w:rPr>
          <w:rFonts w:hint="eastAsia" w:ascii="楷体_GB2312" w:eastAsia="楷体_GB2312"/>
          <w:b/>
          <w:bCs/>
          <w:highlight w:val="none"/>
        </w:rPr>
        <w:t>第十条</w:t>
      </w:r>
      <w:r>
        <w:rPr>
          <w:rFonts w:hint="eastAsia"/>
          <w:highlight w:val="none"/>
        </w:rPr>
        <w:t xml:space="preserve">  本措施由区工业和信息化局负责解释，制定与本措施相关的操作规程。</w:t>
      </w:r>
    </w:p>
    <w:p>
      <w:pPr>
        <w:pStyle w:val="2"/>
        <w:keepNext w:val="0"/>
        <w:keepLines w:val="0"/>
        <w:pageBreakBefore w:val="0"/>
        <w:widowControl w:val="0"/>
        <w:wordWrap/>
        <w:topLinePunct w:val="0"/>
        <w:bidi w:val="0"/>
        <w:spacing w:before="0" w:beforeLines="0" w:beforeAutospacing="0" w:after="0" w:afterLines="0" w:afterAutospacing="0" w:line="560" w:lineRule="exact"/>
        <w:ind w:left="0" w:leftChars="0"/>
        <w:rPr>
          <w:rFonts w:hint="eastAsia"/>
          <w:highlight w:val="none"/>
        </w:rPr>
      </w:pPr>
    </w:p>
    <w:p>
      <w:pPr>
        <w:keepNext w:val="0"/>
        <w:keepLines w:val="0"/>
        <w:pageBreakBefore w:val="0"/>
        <w:widowControl w:val="0"/>
        <w:wordWrap/>
        <w:topLinePunct w:val="0"/>
        <w:bidi w:val="0"/>
        <w:spacing w:beforeAutospacing="0" w:afterAutospacing="0" w:line="560" w:lineRule="exact"/>
        <w:ind w:left="0" w:leftChars="0"/>
        <w:rPr>
          <w:rFonts w:hint="eastAsia"/>
          <w:highlight w:val="none"/>
        </w:rPr>
      </w:pPr>
    </w:p>
    <w:p>
      <w:pPr>
        <w:pStyle w:val="2"/>
        <w:keepNext w:val="0"/>
        <w:keepLines w:val="0"/>
        <w:pageBreakBefore w:val="0"/>
        <w:widowControl w:val="0"/>
        <w:wordWrap/>
        <w:topLinePunct w:val="0"/>
        <w:bidi w:val="0"/>
        <w:spacing w:before="0" w:beforeLines="0" w:beforeAutospacing="0" w:after="0" w:afterLines="0" w:afterAutospacing="0" w:line="560" w:lineRule="exact"/>
        <w:ind w:left="0" w:leftChars="0"/>
        <w:rPr>
          <w:rFonts w:hint="eastAsia"/>
          <w:highlight w:val="none"/>
        </w:rPr>
      </w:pPr>
    </w:p>
    <w:p>
      <w:pPr>
        <w:keepNext w:val="0"/>
        <w:keepLines w:val="0"/>
        <w:pageBreakBefore w:val="0"/>
        <w:widowControl w:val="0"/>
        <w:wordWrap/>
        <w:topLinePunct w:val="0"/>
        <w:bidi w:val="0"/>
        <w:spacing w:beforeAutospacing="0" w:afterAutospacing="0" w:line="560" w:lineRule="exact"/>
        <w:ind w:left="0" w:leftChars="0"/>
        <w:rPr>
          <w:rFonts w:hint="eastAsia"/>
          <w:highlight w:val="none"/>
        </w:rPr>
      </w:pPr>
    </w:p>
    <w:p>
      <w:pPr>
        <w:pStyle w:val="2"/>
        <w:keepNext w:val="0"/>
        <w:keepLines w:val="0"/>
        <w:pageBreakBefore w:val="0"/>
        <w:widowControl w:val="0"/>
        <w:wordWrap/>
        <w:topLinePunct w:val="0"/>
        <w:bidi w:val="0"/>
        <w:spacing w:before="0" w:beforeLines="0" w:beforeAutospacing="0" w:after="0" w:afterLines="0" w:afterAutospacing="0" w:line="560" w:lineRule="exact"/>
        <w:ind w:left="0" w:leftChars="0"/>
        <w:rPr>
          <w:rFonts w:hint="eastAsia"/>
          <w:highlight w:val="none"/>
        </w:rPr>
      </w:pPr>
    </w:p>
    <w:p>
      <w:pPr>
        <w:pStyle w:val="12"/>
        <w:keepNext w:val="0"/>
        <w:keepLines w:val="0"/>
        <w:pageBreakBefore w:val="0"/>
        <w:widowControl w:val="0"/>
        <w:wordWrap/>
        <w:topLinePunct w:val="0"/>
        <w:bidi w:val="0"/>
        <w:spacing w:beforeAutospacing="0" w:after="0" w:afterAutospacing="0" w:line="560" w:lineRule="exact"/>
        <w:ind w:left="0" w:leftChars="0" w:firstLine="0" w:firstLineChars="0"/>
        <w:rPr>
          <w:rFonts w:hint="eastAsia"/>
        </w:rPr>
      </w:pPr>
    </w:p>
    <w:p>
      <w:pPr>
        <w:rPr>
          <w:rFonts w:hint="eastAsia" w:ascii="方正小标宋简体" w:hAnsi="方正小标宋简体" w:eastAsia="方正小标宋简体" w:cs="方正小标宋简体"/>
          <w:sz w:val="40"/>
          <w:szCs w:val="40"/>
          <w:highlight w:val="none"/>
          <w:lang w:eastAsia="zh-CN"/>
        </w:rPr>
      </w:pPr>
      <w:r>
        <w:rPr>
          <w:rFonts w:hint="eastAsia" w:ascii="方正小标宋简体" w:hAnsi="方正小标宋简体" w:eastAsia="方正小标宋简体" w:cs="方正小标宋简体"/>
          <w:sz w:val="40"/>
          <w:szCs w:val="40"/>
          <w:highlight w:val="none"/>
          <w:lang w:eastAsia="zh-CN"/>
        </w:rPr>
        <w:br w:type="page"/>
      </w:r>
    </w:p>
    <w:p>
      <w:pPr>
        <w:keepNext w:val="0"/>
        <w:keepLines w:val="0"/>
        <w:pageBreakBefore w:val="0"/>
        <w:widowControl w:val="0"/>
        <w:kinsoku/>
        <w:wordWrap/>
        <w:overflowPunct/>
        <w:topLinePunct w:val="0"/>
        <w:autoSpaceDE/>
        <w:autoSpaceDN/>
        <w:bidi w:val="0"/>
        <w:adjustRightInd/>
        <w:spacing w:beforeAutospacing="0" w:afterAutospacing="0" w:line="560" w:lineRule="exact"/>
        <w:ind w:left="0" w:leftChars="0" w:right="0" w:rightChars="0"/>
        <w:jc w:val="center"/>
        <w:textAlignment w:val="auto"/>
        <w:rPr>
          <w:rFonts w:hint="eastAsia" w:ascii="方正小标宋简体" w:hAnsi="方正小标宋简体" w:eastAsia="方正小标宋简体" w:cs="方正小标宋简体"/>
          <w:sz w:val="40"/>
          <w:szCs w:val="40"/>
          <w:highlight w:val="none"/>
          <w:lang w:val="en-US" w:eastAsia="zh-CN"/>
        </w:rPr>
      </w:pPr>
      <w:r>
        <w:rPr>
          <w:rFonts w:hint="eastAsia" w:ascii="方正小标宋简体" w:hAnsi="方正小标宋简体" w:eastAsia="方正小标宋简体" w:cs="方正小标宋简体"/>
          <w:sz w:val="40"/>
          <w:szCs w:val="40"/>
          <w:highlight w:val="none"/>
          <w:lang w:eastAsia="zh-CN"/>
        </w:rPr>
        <w:t>南山区促进专精特新企业</w:t>
      </w:r>
      <w:r>
        <w:rPr>
          <w:rFonts w:hint="eastAsia" w:ascii="方正小标宋简体" w:hAnsi="方正小标宋简体" w:eastAsia="方正小标宋简体" w:cs="方正小标宋简体"/>
          <w:sz w:val="40"/>
          <w:szCs w:val="40"/>
          <w:highlight w:val="none"/>
          <w:lang w:val="en-US" w:eastAsia="zh-CN"/>
        </w:rPr>
        <w:t>发展专项扶持措施</w:t>
      </w:r>
    </w:p>
    <w:p>
      <w:pPr>
        <w:pStyle w:val="12"/>
        <w:keepNext w:val="0"/>
        <w:keepLines w:val="0"/>
        <w:pageBreakBefore w:val="0"/>
        <w:widowControl w:val="0"/>
        <w:wordWrap/>
        <w:topLinePunct w:val="0"/>
        <w:bidi w:val="0"/>
        <w:spacing w:beforeAutospacing="0" w:after="0" w:afterAutospacing="0" w:line="560" w:lineRule="exact"/>
        <w:ind w:left="0" w:leftChars="0"/>
        <w:jc w:val="center"/>
        <w:rPr>
          <w:rFonts w:hint="eastAsia" w:ascii="宋体" w:hAnsi="宋体" w:eastAsia="宋体" w:cs="宋体"/>
          <w:b/>
          <w:bCs/>
          <w:sz w:val="36"/>
          <w:szCs w:val="36"/>
          <w:lang w:eastAsia="zh-CN"/>
        </w:rPr>
      </w:pPr>
      <w:r>
        <w:rPr>
          <w:rFonts w:hint="eastAsia" w:ascii="宋体" w:hAnsi="宋体" w:eastAsia="宋体" w:cs="宋体"/>
          <w:b/>
          <w:bCs/>
          <w:sz w:val="36"/>
          <w:szCs w:val="36"/>
          <w:highlight w:val="none"/>
          <w:lang w:val="en-US" w:eastAsia="zh-CN"/>
        </w:rPr>
        <w:t>（征求意见稿）</w:t>
      </w:r>
    </w:p>
    <w:p>
      <w:pPr>
        <w:keepNext w:val="0"/>
        <w:keepLines w:val="0"/>
        <w:pageBreakBefore w:val="0"/>
        <w:widowControl w:val="0"/>
        <w:kinsoku/>
        <w:wordWrap/>
        <w:overflowPunct/>
        <w:topLinePunct w:val="0"/>
        <w:autoSpaceDE/>
        <w:autoSpaceDN/>
        <w:bidi w:val="0"/>
        <w:adjustRightInd/>
        <w:spacing w:beforeAutospacing="0" w:afterAutospacing="0" w:line="560" w:lineRule="exact"/>
        <w:ind w:left="0" w:leftChars="0" w:right="0" w:right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default" w:ascii="Times New Roman" w:hAnsi="Times New Roman" w:eastAsia="仿宋_GB2312" w:cs="Times New Roman"/>
          <w:spacing w:val="0"/>
          <w:sz w:val="32"/>
          <w:szCs w:val="32"/>
          <w:highlight w:val="none"/>
          <w:u w:val="none" w:color="auto"/>
          <w:lang w:val="en-US" w:eastAsia="zh-CN"/>
        </w:rPr>
      </w:pPr>
      <w:r>
        <w:rPr>
          <w:rFonts w:hint="default" w:ascii="Times New Roman" w:hAnsi="Times New Roman" w:eastAsia="仿宋_GB2312" w:cs="Times New Roman"/>
          <w:sz w:val="32"/>
          <w:szCs w:val="32"/>
        </w:rPr>
        <w:t>为深入贯彻</w:t>
      </w:r>
      <w:r>
        <w:rPr>
          <w:rFonts w:hint="eastAsia" w:ascii="Times New Roman" w:hAnsi="Times New Roman" w:eastAsia="仿宋_GB2312" w:cs="Times New Roman"/>
          <w:sz w:val="32"/>
          <w:szCs w:val="32"/>
          <w:lang w:eastAsia="zh-CN"/>
        </w:rPr>
        <w:t>国家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省</w:t>
      </w:r>
      <w:r>
        <w:rPr>
          <w:rFonts w:hint="eastAsia"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关于扶持中小企业健康发展的决策部署，</w:t>
      </w:r>
      <w:r>
        <w:rPr>
          <w:rFonts w:hint="default" w:ascii="Times New Roman" w:hAnsi="Times New Roman" w:eastAsia="仿宋_GB2312" w:cs="Times New Roman"/>
          <w:spacing w:val="0"/>
          <w:sz w:val="32"/>
          <w:szCs w:val="32"/>
          <w:highlight w:val="none"/>
          <w:u w:val="none" w:color="auto"/>
          <w:lang w:val="en-US" w:eastAsia="zh-CN"/>
        </w:rPr>
        <w:t>培育一批发展速度快、创新能力强、运行质量高、经济效益好的专精特新企业，打造一批行业</w:t>
      </w:r>
      <w:r>
        <w:rPr>
          <w:rFonts w:hint="eastAsia" w:ascii="Times New Roman" w:hAnsi="Times New Roman" w:eastAsia="仿宋_GB2312" w:cs="Times New Roman"/>
          <w:spacing w:val="0"/>
          <w:sz w:val="32"/>
          <w:szCs w:val="32"/>
          <w:highlight w:val="none"/>
          <w:u w:val="none" w:color="auto"/>
          <w:lang w:val="en-US" w:eastAsia="zh-CN"/>
        </w:rPr>
        <w:t>“</w:t>
      </w:r>
      <w:r>
        <w:rPr>
          <w:rFonts w:hint="default" w:ascii="Times New Roman" w:hAnsi="Times New Roman" w:eastAsia="仿宋_GB2312" w:cs="Times New Roman"/>
          <w:spacing w:val="0"/>
          <w:sz w:val="32"/>
          <w:szCs w:val="32"/>
          <w:highlight w:val="none"/>
          <w:u w:val="none" w:color="auto"/>
          <w:lang w:val="en-US" w:eastAsia="zh-CN"/>
        </w:rPr>
        <w:t>小巨人</w:t>
      </w:r>
      <w:r>
        <w:rPr>
          <w:rFonts w:hint="eastAsia" w:ascii="Times New Roman" w:hAnsi="Times New Roman" w:eastAsia="仿宋_GB2312" w:cs="Times New Roman"/>
          <w:spacing w:val="0"/>
          <w:sz w:val="32"/>
          <w:szCs w:val="32"/>
          <w:highlight w:val="none"/>
          <w:u w:val="none" w:color="auto"/>
          <w:lang w:val="en-US" w:eastAsia="zh-CN"/>
        </w:rPr>
        <w:t>”</w:t>
      </w:r>
      <w:r>
        <w:rPr>
          <w:rFonts w:hint="eastAsia" w:ascii="仿宋" w:hAnsi="仿宋" w:eastAsia="仿宋"/>
          <w:sz w:val="32"/>
          <w:szCs w:val="32"/>
        </w:rPr>
        <w:t>，</w:t>
      </w:r>
      <w:r>
        <w:rPr>
          <w:rFonts w:hint="eastAsia" w:ascii="Times New Roman" w:hAnsi="Times New Roman" w:eastAsia="仿宋_GB2312" w:cs="Times New Roman"/>
          <w:spacing w:val="0"/>
          <w:sz w:val="32"/>
          <w:szCs w:val="32"/>
          <w:highlight w:val="none"/>
          <w:u w:val="none" w:color="auto"/>
          <w:lang w:val="en-US" w:eastAsia="zh-CN"/>
        </w:rPr>
        <w:t>加快形成</w:t>
      </w:r>
      <w:r>
        <w:rPr>
          <w:rFonts w:hint="eastAsia" w:ascii="仿宋" w:hAnsi="仿宋" w:eastAsia="仿宋"/>
          <w:sz w:val="32"/>
          <w:szCs w:val="32"/>
        </w:rPr>
        <w:t>结构稳定、后继有力的“橄榄型”</w:t>
      </w:r>
      <w:r>
        <w:rPr>
          <w:rFonts w:hint="eastAsia" w:ascii="仿宋" w:hAnsi="仿宋" w:eastAsia="仿宋"/>
          <w:sz w:val="32"/>
          <w:szCs w:val="32"/>
          <w:lang w:val="en-US" w:eastAsia="zh-CN"/>
        </w:rPr>
        <w:t>企业梯队</w:t>
      </w:r>
      <w:r>
        <w:rPr>
          <w:rFonts w:hint="default" w:ascii="Times New Roman" w:hAnsi="Times New Roman" w:eastAsia="仿宋_GB2312" w:cs="Times New Roman"/>
          <w:spacing w:val="0"/>
          <w:sz w:val="32"/>
          <w:szCs w:val="32"/>
          <w:highlight w:val="none"/>
          <w:u w:val="none" w:color="auto"/>
          <w:lang w:val="en-US" w:eastAsia="zh-CN"/>
        </w:rPr>
        <w:t>，</w:t>
      </w:r>
      <w:r>
        <w:rPr>
          <w:rFonts w:hint="eastAsia" w:ascii="Times New Roman" w:hAnsi="Times New Roman" w:eastAsia="仿宋_GB2312" w:cs="Times New Roman"/>
          <w:spacing w:val="0"/>
          <w:sz w:val="32"/>
          <w:szCs w:val="32"/>
          <w:highlight w:val="none"/>
          <w:u w:val="none" w:color="auto"/>
          <w:lang w:val="en-US" w:eastAsia="zh-CN"/>
        </w:rPr>
        <w:t>在</w:t>
      </w:r>
      <w:r>
        <w:rPr>
          <w:rFonts w:hint="default" w:ascii="Times New Roman" w:hAnsi="Times New Roman" w:eastAsia="仿宋_GB2312" w:cs="Times New Roman"/>
          <w:sz w:val="32"/>
          <w:szCs w:val="32"/>
          <w:lang w:eastAsia="zh-CN"/>
        </w:rPr>
        <w:t>落实</w:t>
      </w:r>
      <w:r>
        <w:rPr>
          <w:rFonts w:hint="default" w:ascii="Times New Roman" w:hAnsi="Times New Roman" w:eastAsia="仿宋_GB2312" w:cs="Times New Roman"/>
          <w:sz w:val="32"/>
          <w:szCs w:val="32"/>
        </w:rPr>
        <w:t>国家、省、市关于支持专精特新企业发展相关政策文件</w:t>
      </w:r>
      <w:r>
        <w:rPr>
          <w:rFonts w:hint="eastAsia" w:ascii="Times New Roman" w:hAnsi="Times New Roman" w:eastAsia="仿宋_GB2312" w:cs="Times New Roman"/>
          <w:sz w:val="32"/>
          <w:szCs w:val="32"/>
          <w:lang w:eastAsia="zh-CN"/>
        </w:rPr>
        <w:t>的基础上</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pacing w:val="0"/>
          <w:sz w:val="32"/>
          <w:szCs w:val="32"/>
          <w:highlight w:val="none"/>
          <w:u w:val="none" w:color="auto"/>
          <w:lang w:val="en-US" w:eastAsia="zh-CN"/>
        </w:rPr>
        <w:t>制定</w:t>
      </w:r>
      <w:r>
        <w:rPr>
          <w:rFonts w:hint="eastAsia" w:ascii="Times New Roman" w:hAnsi="Times New Roman" w:eastAsia="仿宋_GB2312" w:cs="Times New Roman"/>
          <w:spacing w:val="0"/>
          <w:sz w:val="32"/>
          <w:szCs w:val="32"/>
          <w:highlight w:val="none"/>
          <w:u w:val="none" w:color="auto"/>
          <w:lang w:val="en-US" w:eastAsia="zh-CN"/>
        </w:rPr>
        <w:t>本措施</w:t>
      </w:r>
      <w:r>
        <w:rPr>
          <w:rFonts w:hint="default" w:ascii="Times New Roman" w:hAnsi="Times New Roman" w:eastAsia="仿宋_GB2312" w:cs="Times New Roman"/>
          <w:spacing w:val="0"/>
          <w:sz w:val="32"/>
          <w:szCs w:val="32"/>
          <w:highlight w:val="none"/>
          <w:u w:val="none" w:color="auto"/>
          <w:lang w:val="en-US" w:eastAsia="zh-CN"/>
        </w:rPr>
        <w:t>。</w:t>
      </w:r>
    </w:p>
    <w:p>
      <w:pPr>
        <w:pStyle w:val="12"/>
        <w:keepNext w:val="0"/>
        <w:keepLines w:val="0"/>
        <w:pageBreakBefore w:val="0"/>
        <w:widowControl w:val="0"/>
        <w:wordWrap/>
        <w:topLinePunct w:val="0"/>
        <w:bidi w:val="0"/>
        <w:spacing w:beforeAutospacing="0" w:after="0" w:afterAutospacing="0" w:line="560" w:lineRule="exact"/>
        <w:ind w:left="0" w:leftChars="0" w:firstLine="640" w:firstLineChars="200"/>
        <w:rPr>
          <w:rFonts w:hint="eastAsia" w:ascii="黑体" w:hAnsi="黑体" w:eastAsia="黑体" w:cs="黑体"/>
          <w:sz w:val="32"/>
          <w:szCs w:val="32"/>
          <w:lang w:val="en-US" w:eastAsia="zh-CN"/>
        </w:rPr>
      </w:pPr>
      <w:r>
        <w:rPr>
          <w:rFonts w:hint="eastAsia" w:ascii="黑体" w:hAnsi="黑体" w:eastAsia="黑体" w:cs="黑体"/>
          <w:color w:val="222222"/>
          <w:sz w:val="32"/>
          <w:szCs w:val="32"/>
          <w:lang w:val="en-US" w:eastAsia="zh-CN"/>
        </w:rPr>
        <w:t>一、</w:t>
      </w:r>
      <w:r>
        <w:rPr>
          <w:rFonts w:hint="eastAsia" w:ascii="黑体" w:hAnsi="黑体" w:eastAsia="黑体" w:cs="黑体"/>
          <w:sz w:val="32"/>
          <w:szCs w:val="32"/>
          <w:lang w:val="en-US" w:eastAsia="zh-CN"/>
        </w:rPr>
        <w:t>强化</w:t>
      </w:r>
      <w:r>
        <w:rPr>
          <w:rFonts w:hint="eastAsia" w:ascii="黑体" w:hAnsi="黑体" w:eastAsia="黑体" w:cs="黑体"/>
          <w:sz w:val="32"/>
          <w:szCs w:val="32"/>
        </w:rPr>
        <w:t>梯度培育</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rPr>
          <w:rFonts w:hint="default" w:ascii="仿宋_GB2312" w:hAnsi="仿宋_GB2312" w:eastAsia="仿宋_GB2312" w:cs="仿宋_GB2312"/>
          <w:sz w:val="32"/>
          <w:lang w:val="en-US" w:eastAsia="zh-CN"/>
        </w:rPr>
      </w:pPr>
      <w:r>
        <w:rPr>
          <w:rFonts w:hint="eastAsia" w:ascii="仿宋_GB2312" w:eastAsia="仿宋_GB2312"/>
          <w:b/>
          <w:bCs/>
          <w:sz w:val="32"/>
          <w:szCs w:val="32"/>
          <w:highlight w:val="none"/>
        </w:rPr>
        <w:t>1.</w:t>
      </w:r>
      <w:r>
        <w:rPr>
          <w:rFonts w:hint="eastAsia" w:ascii="仿宋_GB2312" w:hAnsi="仿宋_GB2312" w:eastAsia="仿宋_GB2312" w:cs="仿宋_GB2312"/>
          <w:b/>
          <w:bCs/>
          <w:sz w:val="32"/>
          <w:lang w:val="en-US" w:eastAsia="zh-CN"/>
        </w:rPr>
        <w:t>建立培育服务机制。</w:t>
      </w:r>
      <w:r>
        <w:rPr>
          <w:rFonts w:hint="eastAsia" w:ascii="仿宋_GB2312" w:hAnsi="仿宋_GB2312" w:eastAsia="仿宋_GB2312" w:cs="仿宋_GB2312"/>
          <w:sz w:val="32"/>
          <w:lang w:val="en-US" w:eastAsia="zh-CN"/>
        </w:rPr>
        <w:t>将专精特新“小巨人”企业纳入领导挂点服务企业范围，每家企业由一位挂点领导和一个职能部门开展一对一精准服务，及时了解和解决企业诉求，开展一企一策精准培育。强化组织领导，加强人员配置，组建覆盖全区相关部门的服务团队，为专精特新企业遴选申报、政策解读及受理提供“一站式”“保姆式”服务。（责任单位：区工业和信息化局、区企业发展服务中心）</w:t>
      </w:r>
    </w:p>
    <w:p>
      <w:pPr>
        <w:pStyle w:val="6"/>
        <w:keepNext w:val="0"/>
        <w:keepLines w:val="0"/>
        <w:pageBreakBefore w:val="0"/>
        <w:widowControl w:val="0"/>
        <w:kinsoku/>
        <w:wordWrap/>
        <w:overflowPunct/>
        <w:topLinePunct w:val="0"/>
        <w:autoSpaceDE/>
        <w:autoSpaceDN/>
        <w:bidi w:val="0"/>
        <w:adjustRightInd/>
        <w:spacing w:beforeAutospacing="0" w:afterAutospacing="0" w:line="560" w:lineRule="exact"/>
        <w:ind w:left="0" w:leftChars="0" w:firstLine="643" w:firstLineChars="200"/>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b/>
          <w:bCs/>
          <w:sz w:val="32"/>
          <w:szCs w:val="32"/>
          <w:highlight w:val="none"/>
          <w:lang w:val="en-US" w:eastAsia="zh-CN"/>
        </w:rPr>
        <w:t>2.促进交流合作。</w:t>
      </w:r>
      <w:r>
        <w:rPr>
          <w:rFonts w:hint="eastAsia" w:ascii="仿宋_GB2312" w:hAnsi="仿宋_GB2312" w:eastAsia="仿宋_GB2312" w:cs="仿宋_GB2312"/>
          <w:b w:val="0"/>
          <w:bCs w:val="0"/>
          <w:sz w:val="32"/>
          <w:szCs w:val="32"/>
          <w:highlight w:val="none"/>
          <w:lang w:val="en-US" w:eastAsia="zh-CN"/>
        </w:rPr>
        <w:t>组织开展专精特新企业间及与龙头企业间的交流学习、问题诊断、产业对接活动，定期分析研判南山区专精特新企业培育发展情况。</w:t>
      </w:r>
      <w:r>
        <w:rPr>
          <w:rFonts w:hint="eastAsia" w:ascii="仿宋_GB2312" w:hAnsi="仿宋_GB2312" w:eastAsia="仿宋_GB2312" w:cs="仿宋_GB2312"/>
          <w:sz w:val="32"/>
          <w:lang w:val="en-US" w:eastAsia="zh-CN"/>
        </w:rPr>
        <w:t>（责任单位：区工业和信息化局、区</w:t>
      </w:r>
    </w:p>
    <w:p>
      <w:pPr>
        <w:pStyle w:val="6"/>
        <w:keepNext w:val="0"/>
        <w:keepLines w:val="0"/>
        <w:pageBreakBefore w:val="0"/>
        <w:widowControl w:val="0"/>
        <w:kinsoku/>
        <w:wordWrap/>
        <w:overflowPunct/>
        <w:topLinePunct w:val="0"/>
        <w:autoSpaceDE/>
        <w:autoSpaceDN/>
        <w:bidi w:val="0"/>
        <w:adjustRightInd/>
        <w:spacing w:beforeAutospacing="0" w:afterAutospacing="0" w:line="560" w:lineRule="exact"/>
        <w:ind w:left="0" w:leftChars="0"/>
        <w:jc w:val="both"/>
        <w:textAlignment w:val="auto"/>
        <w:rPr>
          <w:rFonts w:hint="eastAsia" w:ascii="仿宋_GB2312" w:hAnsi="仿宋_GB2312" w:eastAsia="仿宋_GB2312" w:cs="仿宋_GB2312"/>
          <w:b w:val="0"/>
          <w:bCs w:val="0"/>
          <w:sz w:val="32"/>
          <w:szCs w:val="32"/>
          <w:highlight w:val="none"/>
          <w:lang w:val="en-US" w:eastAsia="zh-CN"/>
        </w:rPr>
      </w:pPr>
      <w:r>
        <w:rPr>
          <w:rFonts w:hint="default" w:ascii="仿宋_GB2312" w:hAnsi="仿宋_GB2312" w:eastAsia="仿宋_GB2312" w:cs="仿宋_GB2312"/>
          <w:sz w:val="32"/>
          <w:lang w:val="en-US" w:eastAsia="zh-CN"/>
        </w:rPr>
        <w:t>企业发展服务中心</w:t>
      </w:r>
      <w:r>
        <w:rPr>
          <w:rFonts w:hint="eastAsia" w:ascii="仿宋_GB2312" w:hAnsi="仿宋_GB2312" w:eastAsia="仿宋_GB2312" w:cs="仿宋_GB2312"/>
          <w:sz w:val="32"/>
          <w:lang w:val="en-US" w:eastAsia="zh-CN"/>
        </w:rPr>
        <w:t>）</w:t>
      </w:r>
    </w:p>
    <w:p>
      <w:pPr>
        <w:pStyle w:val="6"/>
        <w:keepNext w:val="0"/>
        <w:keepLines w:val="0"/>
        <w:pageBreakBefore w:val="0"/>
        <w:widowControl w:val="0"/>
        <w:kinsoku/>
        <w:wordWrap/>
        <w:overflowPunct/>
        <w:topLinePunct w:val="0"/>
        <w:autoSpaceDE/>
        <w:autoSpaceDN/>
        <w:bidi w:val="0"/>
        <w:adjustRightInd/>
        <w:spacing w:beforeAutospacing="0" w:afterAutospacing="0" w:line="560" w:lineRule="exact"/>
        <w:ind w:left="0" w:leftChars="0" w:firstLine="643" w:firstLineChars="200"/>
        <w:jc w:val="both"/>
        <w:textAlignment w:val="auto"/>
        <w:rPr>
          <w:rFonts w:hint="eastAsia" w:ascii="Segoe UI Symbol" w:hAnsi="Segoe UI Symbol" w:eastAsia="仿宋_GB2312" w:cs="Segoe UI Symbol"/>
          <w:color w:val="auto"/>
          <w:sz w:val="32"/>
          <w:szCs w:val="32"/>
          <w:lang w:eastAsia="zh-CN"/>
        </w:rPr>
      </w:pPr>
      <w:r>
        <w:rPr>
          <w:rFonts w:hint="eastAsia" w:ascii="仿宋_GB2312" w:hAnsi="仿宋_GB2312" w:eastAsia="仿宋_GB2312" w:cs="仿宋_GB2312"/>
          <w:b/>
          <w:bCs/>
          <w:sz w:val="32"/>
          <w:szCs w:val="32"/>
          <w:highlight w:val="none"/>
          <w:lang w:val="en-US" w:eastAsia="zh-CN"/>
        </w:rPr>
        <w:t>3.提供专业咨询服务。</w:t>
      </w:r>
      <w:r>
        <w:rPr>
          <w:rFonts w:hint="eastAsia" w:ascii="仿宋_GB2312" w:hAnsi="仿宋_GB2312" w:eastAsia="仿宋_GB2312" w:cs="仿宋_GB2312"/>
          <w:b w:val="0"/>
          <w:bCs w:val="0"/>
          <w:sz w:val="32"/>
          <w:szCs w:val="32"/>
          <w:lang w:val="en-US" w:eastAsia="zh-CN"/>
        </w:rPr>
        <w:t>由区政府出资委托一批优质行业协会、公共服务平台为专精特新企业提供技术创新、科技成果转化、海外专利布局、法律咨询、海外业务拓展支持、品牌培育等服务</w:t>
      </w:r>
      <w:r>
        <w:rPr>
          <w:rFonts w:hint="eastAsia" w:ascii="Segoe UI Symbol" w:hAnsi="Segoe UI Symbol" w:eastAsia="仿宋_GB2312" w:cs="Segoe UI Symbol"/>
          <w:color w:val="auto"/>
          <w:sz w:val="32"/>
          <w:szCs w:val="32"/>
          <w:lang w:eastAsia="zh-CN"/>
        </w:rPr>
        <w:t>。</w:t>
      </w:r>
    </w:p>
    <w:p>
      <w:pPr>
        <w:pStyle w:val="6"/>
        <w:keepNext w:val="0"/>
        <w:keepLines w:val="0"/>
        <w:pageBreakBefore w:val="0"/>
        <w:widowControl w:val="0"/>
        <w:kinsoku/>
        <w:wordWrap/>
        <w:overflowPunct/>
        <w:topLinePunct w:val="0"/>
        <w:autoSpaceDE/>
        <w:autoSpaceDN/>
        <w:bidi w:val="0"/>
        <w:adjustRightInd/>
        <w:spacing w:beforeAutospacing="0" w:afterAutospacing="0" w:line="560" w:lineRule="exact"/>
        <w:ind w:left="0" w:leftChars="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（责任单位：区企业发展服务中心）</w:t>
      </w:r>
    </w:p>
    <w:p>
      <w:pPr>
        <w:pStyle w:val="6"/>
        <w:keepNext w:val="0"/>
        <w:keepLines w:val="0"/>
        <w:pageBreakBefore w:val="0"/>
        <w:widowControl w:val="0"/>
        <w:kinsoku/>
        <w:wordWrap/>
        <w:overflowPunct/>
        <w:topLinePunct w:val="0"/>
        <w:autoSpaceDE/>
        <w:autoSpaceDN/>
        <w:bidi w:val="0"/>
        <w:adjustRightInd/>
        <w:spacing w:beforeAutospacing="0" w:afterAutospacing="0" w:line="560" w:lineRule="exact"/>
        <w:ind w:left="0" w:leftChars="0" w:firstLine="643" w:firstLineChars="200"/>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w:t>
      </w:r>
      <w:r>
        <w:rPr>
          <w:rFonts w:hint="eastAsia" w:ascii="仿宋_GB2312" w:eastAsia="仿宋_GB2312"/>
          <w:b/>
          <w:bCs/>
          <w:sz w:val="32"/>
          <w:szCs w:val="32"/>
          <w:highlight w:val="none"/>
          <w:lang w:val="en-US" w:eastAsia="zh-CN"/>
        </w:rPr>
        <w:t>加大奖励扶持力度</w:t>
      </w:r>
      <w:r>
        <w:rPr>
          <w:rFonts w:hint="eastAsia" w:ascii="仿宋_GB2312" w:eastAsia="仿宋_GB2312"/>
          <w:b/>
          <w:bCs/>
          <w:sz w:val="32"/>
          <w:szCs w:val="32"/>
          <w:highlight w:val="none"/>
        </w:rPr>
        <w:t>。</w:t>
      </w:r>
      <w:r>
        <w:rPr>
          <w:rFonts w:hint="eastAsia" w:ascii="仿宋_GB2312" w:hAnsi="仿宋_GB2312" w:eastAsia="仿宋_GB2312" w:cs="仿宋_GB2312"/>
          <w:sz w:val="32"/>
          <w:highlight w:val="none"/>
          <w:lang w:val="en-US" w:eastAsia="zh-CN"/>
        </w:rPr>
        <w:t>对注册地位于南山区或</w:t>
      </w:r>
      <w:r>
        <w:rPr>
          <w:rFonts w:hint="eastAsia" w:ascii="仿宋_GB2312" w:hAnsi="仿宋_GB2312" w:eastAsia="仿宋_GB2312" w:cs="仿宋_GB2312"/>
          <w:sz w:val="32"/>
          <w:szCs w:val="32"/>
          <w:highlight w:val="none"/>
        </w:rPr>
        <w:t>迁入</w:t>
      </w:r>
      <w:r>
        <w:rPr>
          <w:rFonts w:hint="eastAsia" w:ascii="仿宋_GB2312" w:hAnsi="仿宋_GB2312" w:eastAsia="仿宋_GB2312" w:cs="仿宋_GB2312"/>
          <w:sz w:val="32"/>
          <w:szCs w:val="32"/>
          <w:highlight w:val="none"/>
          <w:lang w:eastAsia="zh-CN"/>
        </w:rPr>
        <w:t>南山区</w:t>
      </w:r>
      <w:r>
        <w:rPr>
          <w:rFonts w:hint="eastAsia" w:ascii="仿宋_GB2312" w:hAnsi="仿宋_GB2312" w:eastAsia="仿宋_GB2312" w:cs="仿宋_GB2312"/>
          <w:sz w:val="32"/>
          <w:szCs w:val="32"/>
          <w:highlight w:val="none"/>
        </w:rPr>
        <w:t>的</w:t>
      </w:r>
      <w:r>
        <w:rPr>
          <w:rFonts w:hint="eastAsia" w:ascii="仿宋_GB2312" w:hAnsi="仿宋_GB2312" w:eastAsia="仿宋_GB2312" w:cs="仿宋_GB2312"/>
          <w:sz w:val="32"/>
          <w:highlight w:val="none"/>
        </w:rPr>
        <w:t>专精特新“小巨人”</w:t>
      </w:r>
      <w:r>
        <w:rPr>
          <w:rFonts w:hint="eastAsia" w:ascii="仿宋_GB2312" w:hAnsi="仿宋_GB2312" w:eastAsia="仿宋_GB2312" w:cs="仿宋_GB2312"/>
          <w:sz w:val="32"/>
          <w:highlight w:val="none"/>
          <w:lang w:val="en-US" w:eastAsia="zh-CN"/>
        </w:rPr>
        <w:t>企业</w:t>
      </w:r>
      <w:r>
        <w:rPr>
          <w:rFonts w:hint="eastAsia" w:ascii="仿宋_GB2312" w:hAnsi="仿宋_GB2312" w:eastAsia="仿宋_GB2312" w:cs="仿宋_GB2312"/>
          <w:sz w:val="32"/>
          <w:highlight w:val="none"/>
          <w:lang w:eastAsia="zh-CN"/>
        </w:rPr>
        <w:t>给予一次性</w:t>
      </w:r>
      <w:r>
        <w:rPr>
          <w:rFonts w:hint="eastAsia" w:ascii="仿宋_GB2312" w:eastAsia="仿宋_GB2312"/>
          <w:sz w:val="32"/>
          <w:highlight w:val="none"/>
          <w:lang w:val="en-US" w:eastAsia="zh-CN"/>
        </w:rPr>
        <w:t>100</w:t>
      </w:r>
      <w:r>
        <w:rPr>
          <w:rFonts w:hint="eastAsia" w:ascii="仿宋_GB2312" w:eastAsia="仿宋_GB2312"/>
          <w:sz w:val="32"/>
          <w:highlight w:val="none"/>
        </w:rPr>
        <w:t>万</w:t>
      </w:r>
      <w:r>
        <w:rPr>
          <w:rFonts w:hint="eastAsia" w:ascii="仿宋_GB2312" w:eastAsia="仿宋_GB2312"/>
          <w:sz w:val="32"/>
          <w:highlight w:val="none"/>
          <w:lang w:val="en-US" w:eastAsia="zh-CN"/>
        </w:rPr>
        <w:t>元</w:t>
      </w:r>
      <w:r>
        <w:rPr>
          <w:rFonts w:hint="eastAsia" w:ascii="仿宋_GB2312" w:eastAsia="仿宋_GB2312"/>
          <w:sz w:val="32"/>
          <w:highlight w:val="none"/>
          <w:lang w:eastAsia="zh-CN"/>
        </w:rPr>
        <w:t>奖励</w:t>
      </w:r>
      <w:r>
        <w:rPr>
          <w:rFonts w:hint="eastAsia" w:ascii="仿宋_GB2312" w:hAnsi="仿宋_GB2312" w:eastAsia="仿宋_GB2312" w:cs="仿宋_GB2312"/>
          <w:sz w:val="32"/>
          <w:highlight w:val="none"/>
          <w:lang w:eastAsia="zh-CN"/>
        </w:rPr>
        <w:t>。</w:t>
      </w:r>
      <w:r>
        <w:rPr>
          <w:rFonts w:hint="eastAsia" w:ascii="仿宋_GB2312" w:hAnsi="仿宋_GB2312" w:eastAsia="仿宋_GB2312" w:cs="仿宋_GB2312"/>
          <w:sz w:val="32"/>
          <w:highlight w:val="none"/>
          <w:lang w:val="en-US" w:eastAsia="zh-CN"/>
        </w:rPr>
        <w:t>对注册地位于南山区或迁入南山区</w:t>
      </w:r>
      <w:r>
        <w:rPr>
          <w:rFonts w:hint="eastAsia" w:ascii="仿宋_GB2312" w:eastAsia="仿宋_GB2312"/>
          <w:sz w:val="32"/>
          <w:highlight w:val="none"/>
          <w:lang w:eastAsia="zh-CN"/>
        </w:rPr>
        <w:t>的专精特新中小企业给予一次性奖励</w:t>
      </w:r>
      <w:r>
        <w:rPr>
          <w:rFonts w:hint="eastAsia" w:ascii="仿宋_GB2312" w:hAnsi="仿宋_GB2312" w:eastAsia="仿宋_GB2312" w:cs="仿宋_GB2312"/>
          <w:sz w:val="32"/>
          <w:highlight w:val="none"/>
          <w:lang w:val="en-US" w:eastAsia="zh-CN"/>
        </w:rPr>
        <w:t>，其中，经广东省工信厅认定且在有效期内的</w:t>
      </w:r>
      <w:r>
        <w:rPr>
          <w:rFonts w:hint="eastAsia" w:ascii="仿宋_GB2312" w:hAnsi="仿宋_GB2312" w:eastAsia="仿宋_GB2312" w:cs="仿宋_GB2312"/>
          <w:sz w:val="32"/>
          <w:highlight w:val="none"/>
          <w:lang w:eastAsia="zh-CN"/>
        </w:rPr>
        <w:t>专精特新中小</w:t>
      </w:r>
      <w:r>
        <w:rPr>
          <w:rFonts w:hint="eastAsia" w:ascii="仿宋_GB2312" w:hAnsi="仿宋_GB2312" w:eastAsia="仿宋_GB2312" w:cs="仿宋_GB2312"/>
          <w:sz w:val="32"/>
          <w:highlight w:val="none"/>
        </w:rPr>
        <w:t>企业</w:t>
      </w:r>
      <w:r>
        <w:rPr>
          <w:rFonts w:hint="eastAsia" w:ascii="仿宋_GB2312" w:eastAsia="仿宋_GB2312"/>
          <w:sz w:val="32"/>
          <w:highlight w:val="none"/>
          <w:lang w:val="en-US" w:eastAsia="zh-CN"/>
        </w:rPr>
        <w:t>30万元，经</w:t>
      </w:r>
      <w:r>
        <w:rPr>
          <w:rFonts w:hint="eastAsia" w:ascii="Times New Roman" w:hAnsi="Times New Roman" w:eastAsia="仿宋_GB2312" w:cs="Times New Roman"/>
          <w:kern w:val="2"/>
          <w:sz w:val="32"/>
          <w:szCs w:val="32"/>
          <w:lang w:val="en-US" w:eastAsia="zh-CN"/>
        </w:rPr>
        <w:t>深圳市中小企业服务局认定且在有效期内的专精特新中小企业以及根据《优质中小企业梯队培育管理暂行办法》（工信部企业〔2022〕63号）认定的专精特新中小企业</w:t>
      </w:r>
      <w:r>
        <w:rPr>
          <w:rFonts w:hint="eastAsia" w:ascii="仿宋_GB2312" w:eastAsia="仿宋_GB2312"/>
          <w:sz w:val="32"/>
          <w:highlight w:val="none"/>
          <w:lang w:val="en-US" w:eastAsia="zh-CN"/>
        </w:rPr>
        <w:t>20</w:t>
      </w:r>
      <w:r>
        <w:rPr>
          <w:rFonts w:hint="eastAsia" w:ascii="仿宋_GB2312" w:eastAsia="仿宋_GB2312"/>
          <w:sz w:val="32"/>
          <w:highlight w:val="none"/>
          <w:lang w:eastAsia="zh-CN"/>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责</w:t>
      </w:r>
    </w:p>
    <w:p>
      <w:pPr>
        <w:pStyle w:val="6"/>
        <w:keepNext w:val="0"/>
        <w:keepLines w:val="0"/>
        <w:pageBreakBefore w:val="0"/>
        <w:widowControl w:val="0"/>
        <w:kinsoku/>
        <w:wordWrap/>
        <w:overflowPunct/>
        <w:topLinePunct w:val="0"/>
        <w:autoSpaceDE/>
        <w:autoSpaceDN/>
        <w:bidi w:val="0"/>
        <w:adjustRightInd/>
        <w:spacing w:beforeAutospacing="0" w:afterAutospacing="0" w:line="560" w:lineRule="exact"/>
        <w:ind w:left="0" w:leftChars="0"/>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任单位：区工业和信息化局）</w:t>
      </w:r>
    </w:p>
    <w:p>
      <w:pPr>
        <w:pStyle w:val="6"/>
        <w:keepNext w:val="0"/>
        <w:keepLines w:val="0"/>
        <w:pageBreakBefore w:val="0"/>
        <w:widowControl w:val="0"/>
        <w:kinsoku/>
        <w:wordWrap/>
        <w:overflowPunct/>
        <w:topLinePunct w:val="0"/>
        <w:autoSpaceDE/>
        <w:autoSpaceDN/>
        <w:bidi w:val="0"/>
        <w:adjustRightInd/>
        <w:spacing w:beforeAutospacing="0" w:afterAutospacing="0" w:line="560" w:lineRule="exact"/>
        <w:ind w:left="0" w:leftChars="0" w:firstLine="643" w:firstLineChars="200"/>
        <w:jc w:val="both"/>
        <w:textAlignment w:val="auto"/>
        <w:rPr>
          <w:rFonts w:hint="eastAsia" w:ascii="黑体" w:hAnsi="黑体" w:eastAsia="黑体" w:cs="黑体"/>
          <w:sz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highlight w:val="none"/>
          <w:lang w:val="en-US" w:eastAsia="zh-CN"/>
        </w:rPr>
        <w:t>推进包容审慎监管。</w:t>
      </w:r>
      <w:r>
        <w:rPr>
          <w:rFonts w:hint="eastAsia" w:ascii="仿宋_GB2312" w:hAnsi="仿宋_GB2312" w:eastAsia="仿宋_GB2312" w:cs="仿宋_GB2312"/>
          <w:b w:val="0"/>
          <w:bCs w:val="0"/>
          <w:sz w:val="32"/>
          <w:szCs w:val="32"/>
          <w:lang w:val="en-US" w:eastAsia="zh-CN"/>
        </w:rPr>
        <w:t>深化“放管服”改革，持续优化营商环境，除法律、法规、规章明确禁止或者涉及危害公共安全和人民群众生命健康等情形外，对专精特新企业优先采取教育提醒、劝导示范、警示告诫、行政提示、行政指导、行政约谈等柔性执法方式，谨慎使用行政处罚等严厉执法措施。将专精特新企业纳入“综合查一次”企业清单，减少执法对企业的干扰。（</w:t>
      </w:r>
      <w:r>
        <w:rPr>
          <w:rFonts w:hint="eastAsia" w:ascii="仿宋_GB2312" w:hAnsi="仿宋_GB2312" w:eastAsia="仿宋_GB2312" w:cs="仿宋_GB2312"/>
          <w:sz w:val="32"/>
          <w:lang w:val="en-US" w:eastAsia="zh-CN"/>
        </w:rPr>
        <w:t>责任单位：区司法局、市市场监督管理局南山监管局、各执法部门</w:t>
      </w:r>
      <w:r>
        <w:rPr>
          <w:rFonts w:hint="eastAsia" w:ascii="仿宋_GB2312" w:hAnsi="仿宋_GB2312" w:eastAsia="仿宋_GB2312" w:cs="仿宋_GB2312"/>
          <w:b w:val="0"/>
          <w:bCs w:val="0"/>
          <w:sz w:val="32"/>
          <w:szCs w:val="32"/>
          <w:lang w:val="en-US" w:eastAsia="zh-CN"/>
        </w:rPr>
        <w:t>）</w:t>
      </w:r>
    </w:p>
    <w:p>
      <w:pPr>
        <w:pStyle w:val="6"/>
        <w:keepNext w:val="0"/>
        <w:keepLines w:val="0"/>
        <w:pageBreakBefore w:val="0"/>
        <w:widowControl w:val="0"/>
        <w:kinsoku/>
        <w:wordWrap/>
        <w:overflowPunct/>
        <w:topLinePunct w:val="0"/>
        <w:autoSpaceDE/>
        <w:autoSpaceDN/>
        <w:bidi w:val="0"/>
        <w:adjustRightInd/>
        <w:spacing w:beforeAutospacing="0" w:afterAutospacing="0" w:line="560" w:lineRule="exact"/>
        <w:ind w:left="0" w:leftChars="0" w:firstLine="640" w:firstLineChars="200"/>
        <w:jc w:val="both"/>
        <w:textAlignment w:val="auto"/>
        <w:rPr>
          <w:rFonts w:hint="eastAsia" w:ascii="仿宋_GB2312" w:hAnsi="仿宋_GB2312" w:eastAsia="楷体_GB2312" w:cs="仿宋_GB2312"/>
          <w:sz w:val="32"/>
          <w:lang w:val="en-US" w:eastAsia="zh-CN"/>
        </w:rPr>
      </w:pPr>
      <w:r>
        <w:rPr>
          <w:rFonts w:hint="eastAsia" w:ascii="黑体" w:hAnsi="黑体" w:eastAsia="黑体" w:cs="黑体"/>
          <w:sz w:val="32"/>
        </w:rPr>
        <w:t>二</w:t>
      </w:r>
      <w:r>
        <w:rPr>
          <w:rFonts w:hint="eastAsia" w:ascii="黑体" w:hAnsi="黑体" w:eastAsia="黑体" w:cs="黑体"/>
          <w:sz w:val="32"/>
          <w:lang w:eastAsia="zh-CN"/>
        </w:rPr>
        <w:t>、提升</w:t>
      </w:r>
      <w:r>
        <w:rPr>
          <w:rFonts w:hint="eastAsia" w:ascii="黑体" w:hAnsi="黑体" w:eastAsia="黑体" w:cs="黑体"/>
          <w:sz w:val="32"/>
        </w:rPr>
        <w:t>创新能力</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3" w:firstLineChars="200"/>
        <w:textAlignment w:val="auto"/>
        <w:rPr>
          <w:rFonts w:hint="default" w:ascii="仿宋_GB2312" w:hAnsi="仿宋_GB2312" w:eastAsia="仿宋_GB2312" w:cs="仿宋_GB2312"/>
          <w:sz w:val="32"/>
          <w:highlight w:val="none"/>
          <w:lang w:val="en-US" w:eastAsia="zh-CN"/>
        </w:rPr>
      </w:pPr>
      <w:r>
        <w:rPr>
          <w:rFonts w:hint="eastAsia" w:ascii="仿宋_GB2312" w:eastAsia="仿宋_GB2312"/>
          <w:b/>
          <w:bCs/>
          <w:sz w:val="32"/>
          <w:highlight w:val="none"/>
          <w:lang w:val="en-US" w:eastAsia="zh-CN"/>
        </w:rPr>
        <w:t>6</w:t>
      </w:r>
      <w:r>
        <w:rPr>
          <w:rFonts w:hint="eastAsia" w:ascii="仿宋_GB2312" w:eastAsia="仿宋_GB2312"/>
          <w:b/>
          <w:bCs/>
          <w:sz w:val="32"/>
          <w:highlight w:val="none"/>
        </w:rPr>
        <w:t>.支持</w:t>
      </w:r>
      <w:r>
        <w:rPr>
          <w:rFonts w:hint="eastAsia" w:ascii="仿宋_GB2312" w:hAnsi="仿宋_GB2312" w:eastAsia="仿宋_GB2312" w:cs="仿宋_GB2312"/>
          <w:b/>
          <w:bCs/>
          <w:sz w:val="32"/>
          <w:szCs w:val="32"/>
          <w:highlight w:val="none"/>
          <w:lang w:val="en-US" w:eastAsia="zh-CN"/>
        </w:rPr>
        <w:t>企业创新研发</w:t>
      </w:r>
      <w:r>
        <w:rPr>
          <w:rFonts w:hint="eastAsia" w:ascii="仿宋_GB2312" w:eastAsia="仿宋_GB2312"/>
          <w:b/>
          <w:bCs/>
          <w:sz w:val="32"/>
          <w:highlight w:val="none"/>
        </w:rPr>
        <w:t>。</w:t>
      </w:r>
      <w:r>
        <w:rPr>
          <w:rFonts w:hint="eastAsia" w:ascii="仿宋_GB2312" w:eastAsia="仿宋_GB2312"/>
          <w:b w:val="0"/>
          <w:bCs w:val="0"/>
          <w:sz w:val="32"/>
          <w:highlight w:val="none"/>
        </w:rPr>
        <w:t>支持专精特新企业围绕“卡脖子”技术和产品开展核心技术攻关，对上年度</w:t>
      </w:r>
      <w:r>
        <w:rPr>
          <w:rFonts w:hint="eastAsia" w:ascii="仿宋_GB2312" w:eastAsia="仿宋_GB2312"/>
          <w:b w:val="0"/>
          <w:bCs w:val="0"/>
          <w:sz w:val="32"/>
          <w:highlight w:val="none"/>
          <w:lang w:eastAsia="zh-CN"/>
        </w:rPr>
        <w:t>牵头承担</w:t>
      </w:r>
      <w:r>
        <w:rPr>
          <w:rFonts w:hint="eastAsia" w:ascii="仿宋_GB2312" w:eastAsia="仿宋_GB2312"/>
          <w:b w:val="0"/>
          <w:bCs w:val="0"/>
          <w:sz w:val="32"/>
          <w:highlight w:val="none"/>
        </w:rPr>
        <w:t>国家重点研发计划、重大科技专项等国家科技重大专项（以国家发改委、科技部、工信部相关部门发布的项目为准，同一项目不重复支持</w:t>
      </w:r>
      <w:r>
        <w:rPr>
          <w:rFonts w:hint="eastAsia" w:ascii="仿宋_GB2312" w:eastAsia="仿宋_GB2312"/>
          <w:b w:val="0"/>
          <w:bCs w:val="0"/>
          <w:sz w:val="32"/>
          <w:highlight w:val="none"/>
          <w:lang w:eastAsia="zh-CN"/>
        </w:rPr>
        <w:t>；下同</w:t>
      </w:r>
      <w:r>
        <w:rPr>
          <w:rFonts w:hint="eastAsia" w:ascii="仿宋_GB2312" w:eastAsia="仿宋_GB2312"/>
          <w:b w:val="0"/>
          <w:bCs w:val="0"/>
          <w:sz w:val="32"/>
          <w:highlight w:val="none"/>
        </w:rPr>
        <w:t>）的专精特新“小巨人”企业，给予每个项目</w:t>
      </w:r>
      <w:r>
        <w:rPr>
          <w:rFonts w:hint="eastAsia" w:ascii="仿宋_GB2312" w:eastAsia="仿宋_GB2312"/>
          <w:b w:val="0"/>
          <w:bCs w:val="0"/>
          <w:sz w:val="32"/>
          <w:highlight w:val="none"/>
          <w:lang w:val="en-US" w:eastAsia="zh-CN"/>
        </w:rPr>
        <w:t>50</w:t>
      </w:r>
      <w:r>
        <w:rPr>
          <w:rFonts w:hint="eastAsia" w:ascii="仿宋_GB2312" w:eastAsia="仿宋_GB2312"/>
          <w:b w:val="0"/>
          <w:bCs w:val="0"/>
          <w:sz w:val="32"/>
          <w:highlight w:val="none"/>
        </w:rPr>
        <w:t>万元、每家企业最高</w:t>
      </w:r>
      <w:r>
        <w:rPr>
          <w:rFonts w:hint="eastAsia" w:ascii="仿宋_GB2312" w:eastAsia="仿宋_GB2312"/>
          <w:b w:val="0"/>
          <w:bCs w:val="0"/>
          <w:sz w:val="32"/>
          <w:highlight w:val="none"/>
          <w:lang w:val="en-US" w:eastAsia="zh-CN"/>
        </w:rPr>
        <w:t>200</w:t>
      </w:r>
      <w:r>
        <w:rPr>
          <w:rFonts w:hint="eastAsia" w:ascii="仿宋_GB2312" w:eastAsia="仿宋_GB2312"/>
          <w:b w:val="0"/>
          <w:bCs w:val="0"/>
          <w:sz w:val="32"/>
          <w:highlight w:val="none"/>
        </w:rPr>
        <w:t>万元的奖励</w:t>
      </w:r>
      <w:r>
        <w:rPr>
          <w:rFonts w:hint="eastAsia" w:ascii="仿宋_GB2312" w:eastAsia="仿宋_GB2312"/>
          <w:b w:val="0"/>
          <w:bCs w:val="0"/>
          <w:sz w:val="32"/>
          <w:highlight w:val="none"/>
          <w:lang w:eastAsia="zh-CN"/>
        </w:rPr>
        <w:t>；</w:t>
      </w:r>
      <w:r>
        <w:rPr>
          <w:rFonts w:hint="eastAsia" w:ascii="仿宋_GB2312" w:eastAsia="仿宋_GB2312"/>
          <w:b w:val="0"/>
          <w:bCs w:val="0"/>
          <w:sz w:val="32"/>
          <w:highlight w:val="none"/>
        </w:rPr>
        <w:t>对上年度参与国家重点研发计划、重大科技专项等国家科技重大专项的专精特新“小巨人”企业，给予每个项目</w:t>
      </w:r>
      <w:r>
        <w:rPr>
          <w:rFonts w:hint="eastAsia" w:ascii="仿宋_GB2312" w:eastAsia="仿宋_GB2312"/>
          <w:b w:val="0"/>
          <w:bCs w:val="0"/>
          <w:sz w:val="32"/>
          <w:highlight w:val="none"/>
          <w:lang w:val="en-US" w:eastAsia="zh-CN"/>
        </w:rPr>
        <w:t>25</w:t>
      </w:r>
      <w:r>
        <w:rPr>
          <w:rFonts w:hint="eastAsia" w:ascii="仿宋_GB2312" w:eastAsia="仿宋_GB2312"/>
          <w:b w:val="0"/>
          <w:bCs w:val="0"/>
          <w:sz w:val="32"/>
          <w:highlight w:val="none"/>
        </w:rPr>
        <w:t>万元、每家企业最高</w:t>
      </w:r>
      <w:r>
        <w:rPr>
          <w:rFonts w:hint="eastAsia" w:ascii="仿宋_GB2312" w:eastAsia="仿宋_GB2312"/>
          <w:b w:val="0"/>
          <w:bCs w:val="0"/>
          <w:sz w:val="32"/>
          <w:highlight w:val="none"/>
          <w:lang w:val="en-US" w:eastAsia="zh-CN"/>
        </w:rPr>
        <w:t>100</w:t>
      </w:r>
      <w:r>
        <w:rPr>
          <w:rFonts w:hint="eastAsia" w:ascii="仿宋_GB2312" w:eastAsia="仿宋_GB2312"/>
          <w:b w:val="0"/>
          <w:bCs w:val="0"/>
          <w:sz w:val="32"/>
          <w:highlight w:val="none"/>
        </w:rPr>
        <w:t>万元的奖励</w:t>
      </w:r>
      <w:r>
        <w:rPr>
          <w:rFonts w:hint="eastAsia" w:ascii="仿宋_GB2312" w:eastAsia="仿宋_GB2312"/>
          <w:b w:val="0"/>
          <w:bCs w:val="0"/>
          <w:sz w:val="32"/>
          <w:highlight w:val="none"/>
          <w:lang w:eastAsia="zh-CN"/>
        </w:rPr>
        <w:t>；</w:t>
      </w:r>
      <w:r>
        <w:rPr>
          <w:rFonts w:hint="eastAsia" w:ascii="仿宋_GB2312" w:eastAsia="仿宋_GB2312"/>
          <w:sz w:val="32"/>
          <w:highlight w:val="none"/>
          <w:lang w:val="en-US" w:eastAsia="zh-CN"/>
        </w:rPr>
        <w:t>优先推荐</w:t>
      </w:r>
      <w:r>
        <w:rPr>
          <w:rFonts w:hint="eastAsia" w:ascii="仿宋_GB2312" w:eastAsia="仿宋_GB2312"/>
          <w:sz w:val="32"/>
          <w:highlight w:val="none"/>
        </w:rPr>
        <w:t>专精特新“小巨人”企业</w:t>
      </w:r>
      <w:r>
        <w:rPr>
          <w:rFonts w:hint="eastAsia" w:ascii="仿宋_GB2312" w:eastAsia="仿宋_GB2312"/>
          <w:sz w:val="32"/>
          <w:highlight w:val="none"/>
          <w:lang w:val="en-US" w:eastAsia="zh-CN"/>
        </w:rPr>
        <w:t>参与深圳市技术攻关专项重点项目及重大项目课题征集，对企业符合条件的项目申请南山区相关配套资助给予提高比例和上限支持，资助比例按市级资助金额的60%，每个项目最高资助600万元</w:t>
      </w:r>
      <w:r>
        <w:rPr>
          <w:rFonts w:hint="eastAsia" w:ascii="仿宋_GB2312" w:eastAsia="仿宋_GB2312"/>
          <w:sz w:val="32"/>
          <w:highlight w:val="none"/>
        </w:rPr>
        <w:t>。</w:t>
      </w:r>
      <w:r>
        <w:rPr>
          <w:rFonts w:hint="eastAsia" w:ascii="仿宋_GB2312" w:hAnsi="仿宋_GB2312" w:eastAsia="仿宋_GB2312" w:cs="仿宋_GB2312"/>
          <w:sz w:val="32"/>
          <w:highlight w:val="none"/>
          <w:lang w:eastAsia="zh-CN"/>
        </w:rPr>
        <w:t>（</w:t>
      </w:r>
      <w:r>
        <w:rPr>
          <w:rFonts w:hint="eastAsia" w:ascii="仿宋_GB2312" w:hAnsi="仿宋_GB2312" w:eastAsia="仿宋_GB2312" w:cs="仿宋_GB2312"/>
          <w:sz w:val="32"/>
          <w:highlight w:val="none"/>
          <w:lang w:val="en-US" w:eastAsia="zh-CN"/>
        </w:rPr>
        <w:t>责任单位：区科技创新局）</w:t>
      </w:r>
    </w:p>
    <w:p>
      <w:pPr>
        <w:keepNext w:val="0"/>
        <w:keepLines w:val="0"/>
        <w:pageBreakBefore w:val="0"/>
        <w:widowControl w:val="0"/>
        <w:kinsoku/>
        <w:wordWrap/>
        <w:overflowPunct/>
        <w:topLinePunct w:val="0"/>
        <w:autoSpaceDE/>
        <w:autoSpaceDN/>
        <w:bidi w:val="0"/>
        <w:adjustRightInd/>
        <w:spacing w:beforeAutospacing="0" w:afterAutospacing="0" w:line="560" w:lineRule="exact"/>
        <w:ind w:left="0" w:leftChars="0" w:firstLine="643" w:firstLineChars="200"/>
        <w:textAlignment w:val="auto"/>
        <w:outlineLvl w:val="2"/>
        <w:rPr>
          <w:rFonts w:hint="default" w:ascii="仿宋_GB2312" w:eastAsia="仿宋_GB2312"/>
          <w:b w:val="0"/>
          <w:bCs w:val="0"/>
          <w:sz w:val="32"/>
          <w:highlight w:val="none"/>
          <w:lang w:val="en-US" w:eastAsia="zh-CN"/>
        </w:rPr>
      </w:pPr>
      <w:r>
        <w:rPr>
          <w:rFonts w:hint="eastAsia" w:ascii="仿宋_GB2312" w:eastAsia="仿宋_GB2312"/>
          <w:b/>
          <w:bCs/>
          <w:sz w:val="32"/>
          <w:highlight w:val="none"/>
          <w:lang w:val="en-US" w:eastAsia="zh-CN"/>
        </w:rPr>
        <w:t>7.进一步提升产研融合水平。</w:t>
      </w:r>
      <w:r>
        <w:rPr>
          <w:rFonts w:hint="eastAsia" w:ascii="仿宋_GB2312" w:eastAsia="仿宋_GB2312"/>
          <w:b w:val="0"/>
          <w:bCs w:val="0"/>
          <w:sz w:val="32"/>
          <w:highlight w:val="none"/>
          <w:lang w:val="en-US" w:eastAsia="zh-CN"/>
        </w:rPr>
        <w:t>发挥南山区创新资源集聚优势，鼓励辖区重点实验室、工程实验室、工程研究中心等创新载体与专精特新企业“结对子”，</w:t>
      </w:r>
      <w:r>
        <w:rPr>
          <w:rFonts w:hint="eastAsia" w:ascii="仿宋_GB2312" w:eastAsia="仿宋_GB2312"/>
          <w:sz w:val="32"/>
          <w:highlight w:val="none"/>
        </w:rPr>
        <w:t>对专精特新企业与公立医院、高校成立的联合实验室，按实际出资方出资金额的30%给予资助，每家出资单位最高资助100万元。</w:t>
      </w:r>
      <w:r>
        <w:rPr>
          <w:rFonts w:hint="eastAsia" w:ascii="仿宋_GB2312" w:hAnsi="仿宋_GB2312" w:eastAsia="仿宋_GB2312" w:cs="仿宋_GB2312"/>
          <w:sz w:val="32"/>
          <w:highlight w:val="none"/>
          <w:lang w:eastAsia="zh-CN"/>
        </w:rPr>
        <w:t>（</w:t>
      </w:r>
      <w:r>
        <w:rPr>
          <w:rFonts w:hint="eastAsia" w:ascii="仿宋_GB2312" w:hAnsi="仿宋_GB2312" w:eastAsia="仿宋_GB2312" w:cs="仿宋_GB2312"/>
          <w:sz w:val="32"/>
          <w:highlight w:val="none"/>
          <w:lang w:val="en-US" w:eastAsia="zh-CN"/>
        </w:rPr>
        <w:t>责任单位：区科技创新局）</w:t>
      </w:r>
    </w:p>
    <w:p>
      <w:pPr>
        <w:keepNext w:val="0"/>
        <w:keepLines w:val="0"/>
        <w:pageBreakBefore w:val="0"/>
        <w:widowControl w:val="0"/>
        <w:kinsoku/>
        <w:wordWrap/>
        <w:overflowPunct/>
        <w:topLinePunct w:val="0"/>
        <w:autoSpaceDE/>
        <w:autoSpaceDN/>
        <w:bidi w:val="0"/>
        <w:adjustRightInd/>
        <w:spacing w:beforeAutospacing="0" w:afterAutospacing="0" w:line="560" w:lineRule="exact"/>
        <w:ind w:left="0" w:leftChars="0" w:firstLine="643" w:firstLineChars="200"/>
        <w:textAlignment w:val="auto"/>
        <w:outlineLvl w:val="2"/>
        <w:rPr>
          <w:rFonts w:hint="eastAsia" w:ascii="仿宋_GB2312" w:hAnsi="仿宋_GB2312" w:eastAsia="仿宋_GB2312" w:cs="仿宋_GB2312"/>
          <w:sz w:val="32"/>
          <w:highlight w:val="yellow"/>
          <w:lang w:val="en-US" w:eastAsia="zh-CN"/>
        </w:rPr>
      </w:pPr>
      <w:r>
        <w:rPr>
          <w:rFonts w:hint="eastAsia" w:ascii="仿宋_GB2312" w:eastAsia="仿宋_GB2312"/>
          <w:b/>
          <w:bCs/>
          <w:sz w:val="32"/>
          <w:highlight w:val="none"/>
          <w:lang w:val="en-US" w:eastAsia="zh-CN"/>
        </w:rPr>
        <w:t>8.加强知识产权服务。</w:t>
      </w:r>
      <w:r>
        <w:rPr>
          <w:rFonts w:hint="eastAsia" w:ascii="仿宋_GB2312" w:eastAsia="仿宋_GB2312"/>
          <w:b w:val="0"/>
          <w:bCs w:val="0"/>
          <w:sz w:val="32"/>
          <w:highlight w:val="none"/>
          <w:lang w:val="en-US" w:eastAsia="zh-CN"/>
        </w:rPr>
        <w:t>联合中国（深圳）知识产权保护中心，为专精特新企业提供专利快速预审咨询服务，指导帮助企业缩短专利授权时间。依托南山知识产权保护中心开通绿色服务通道，优先为专精特新企业提供查询检索、案件咨询、维权辅导和纠纷预警等公共服务。（责任单位：区科技创新局）</w:t>
      </w:r>
    </w:p>
    <w:p>
      <w:pPr>
        <w:pStyle w:val="12"/>
        <w:keepNext w:val="0"/>
        <w:keepLines w:val="0"/>
        <w:pageBreakBefore w:val="0"/>
        <w:widowControl w:val="0"/>
        <w:wordWrap/>
        <w:topLinePunct w:val="0"/>
        <w:bidi w:val="0"/>
        <w:spacing w:beforeAutospacing="0" w:after="0" w:afterAutospacing="0" w:line="560" w:lineRule="exact"/>
        <w:ind w:left="0" w:leftChars="0" w:firstLine="640" w:firstLineChars="200"/>
        <w:rPr>
          <w:rFonts w:hint="eastAsia" w:ascii="黑体" w:hAnsi="黑体" w:eastAsia="黑体" w:cs="黑体"/>
          <w:color w:val="auto"/>
          <w:sz w:val="21"/>
          <w:highlight w:val="none"/>
          <w:lang w:eastAsia="zh-CN"/>
        </w:rPr>
      </w:pPr>
      <w:r>
        <w:rPr>
          <w:rFonts w:hint="eastAsia" w:ascii="黑体" w:hAnsi="黑体" w:eastAsia="黑体" w:cs="黑体"/>
          <w:b w:val="0"/>
          <w:bCs w:val="0"/>
          <w:sz w:val="32"/>
          <w:lang w:val="en-US" w:eastAsia="zh-CN"/>
        </w:rPr>
        <w:t>三、支持转型升级</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560" w:lineRule="exact"/>
        <w:ind w:left="0" w:leftChars="0" w:right="0" w:rightChars="0" w:firstLine="643" w:firstLineChars="200"/>
        <w:jc w:val="both"/>
        <w:textAlignment w:val="auto"/>
        <w:rPr>
          <w:rFonts w:hint="eastAsia" w:ascii="仿宋_GB2312" w:hAnsi="仿宋_GB2312" w:eastAsia="仿宋_GB2312" w:cs="仿宋_GB2312"/>
          <w:sz w:val="32"/>
          <w:highlight w:val="none"/>
          <w:lang w:val="en-US" w:eastAsia="zh-CN"/>
        </w:rPr>
      </w:pPr>
      <w:r>
        <w:rPr>
          <w:rFonts w:hint="eastAsia" w:ascii="仿宋_GB2312" w:eastAsia="仿宋_GB2312"/>
          <w:b/>
          <w:bCs/>
          <w:sz w:val="32"/>
          <w:highlight w:val="none"/>
          <w:lang w:val="en-US" w:eastAsia="zh-CN"/>
        </w:rPr>
        <w:t>9</w:t>
      </w:r>
      <w:r>
        <w:rPr>
          <w:rFonts w:hint="eastAsia" w:ascii="仿宋_GB2312" w:eastAsia="仿宋_GB2312"/>
          <w:b/>
          <w:bCs/>
          <w:sz w:val="32"/>
          <w:highlight w:val="none"/>
        </w:rPr>
        <w:t>.</w:t>
      </w:r>
      <w:r>
        <w:rPr>
          <w:rFonts w:hint="eastAsia" w:ascii="仿宋_GB2312" w:eastAsia="仿宋_GB2312" w:cstheme="minorBidi"/>
          <w:b/>
          <w:bCs/>
          <w:kern w:val="2"/>
          <w:sz w:val="32"/>
          <w:szCs w:val="24"/>
          <w:highlight w:val="none"/>
          <w:lang w:val="en-US" w:eastAsia="zh-CN" w:bidi="ar-SA"/>
        </w:rPr>
        <w:t>加快数字化智能化改造</w:t>
      </w:r>
      <w:r>
        <w:rPr>
          <w:rFonts w:hint="eastAsia" w:ascii="仿宋_GB2312" w:eastAsia="仿宋_GB2312" w:hAnsiTheme="minorHAnsi" w:cstheme="minorBidi"/>
          <w:b/>
          <w:bCs/>
          <w:kern w:val="2"/>
          <w:sz w:val="32"/>
          <w:szCs w:val="24"/>
          <w:highlight w:val="none"/>
          <w:lang w:val="en-US" w:eastAsia="zh-CN" w:bidi="ar-SA"/>
        </w:rPr>
        <w:t>。</w:t>
      </w:r>
      <w:r>
        <w:rPr>
          <w:rFonts w:hint="eastAsia" w:ascii="Times New Roman" w:hAnsi="Times New Roman" w:eastAsia="仿宋_GB2312" w:cs="Times New Roman"/>
          <w:sz w:val="32"/>
          <w:szCs w:val="32"/>
          <w:highlight w:val="none"/>
          <w:lang w:eastAsia="zh-CN"/>
        </w:rPr>
        <w:t>对</w:t>
      </w:r>
      <w:r>
        <w:rPr>
          <w:rFonts w:hint="eastAsia" w:ascii="Times New Roman" w:hAnsi="Times New Roman" w:eastAsia="仿宋_GB2312" w:cs="Times New Roman"/>
          <w:kern w:val="2"/>
          <w:sz w:val="32"/>
          <w:szCs w:val="32"/>
          <w:highlight w:val="none"/>
          <w:lang w:val="en-US" w:eastAsia="zh-CN"/>
        </w:rPr>
        <w:t>专精特新企业</w:t>
      </w:r>
      <w:r>
        <w:rPr>
          <w:rFonts w:hint="eastAsia" w:ascii="Times New Roman" w:hAnsi="Times New Roman" w:eastAsia="仿宋_GB2312" w:cs="Times New Roman"/>
          <w:sz w:val="32"/>
          <w:szCs w:val="32"/>
          <w:highlight w:val="none"/>
          <w:lang w:val="en-US" w:eastAsia="zh-CN"/>
        </w:rPr>
        <w:t>符合条件的技术改造项目，</w:t>
      </w:r>
      <w:r>
        <w:rPr>
          <w:rFonts w:hint="eastAsia" w:ascii="Times New Roman" w:hAnsi="Times New Roman" w:eastAsia="仿宋_GB2312" w:cs="Times New Roman"/>
          <w:sz w:val="32"/>
          <w:szCs w:val="32"/>
          <w:highlight w:val="none"/>
          <w:lang w:eastAsia="zh-CN"/>
        </w:rPr>
        <w:t>按照</w:t>
      </w:r>
      <w:r>
        <w:rPr>
          <w:rFonts w:hint="default" w:ascii="Times New Roman" w:hAnsi="Times New Roman" w:eastAsia="仿宋_GB2312" w:cs="Times New Roman"/>
          <w:sz w:val="32"/>
          <w:szCs w:val="32"/>
          <w:highlight w:val="none"/>
        </w:rPr>
        <w:t>《南山区</w:t>
      </w:r>
      <w:r>
        <w:rPr>
          <w:rFonts w:hint="eastAsia" w:ascii="Times New Roman" w:hAnsi="Times New Roman" w:eastAsia="仿宋_GB2312" w:cs="Times New Roman"/>
          <w:sz w:val="32"/>
          <w:szCs w:val="32"/>
          <w:highlight w:val="none"/>
          <w:lang w:eastAsia="zh-CN"/>
        </w:rPr>
        <w:t>促进高端制造业</w:t>
      </w:r>
      <w:r>
        <w:rPr>
          <w:rFonts w:hint="default" w:ascii="Times New Roman" w:hAnsi="Times New Roman" w:eastAsia="仿宋_GB2312" w:cs="Times New Roman"/>
          <w:sz w:val="32"/>
          <w:szCs w:val="32"/>
          <w:highlight w:val="none"/>
        </w:rPr>
        <w:t>发展</w:t>
      </w:r>
      <w:r>
        <w:rPr>
          <w:rFonts w:hint="eastAsia" w:ascii="Times New Roman" w:hAnsi="Times New Roman" w:eastAsia="仿宋_GB2312" w:cs="Times New Roman"/>
          <w:sz w:val="32"/>
          <w:szCs w:val="32"/>
          <w:highlight w:val="none"/>
          <w:lang w:eastAsia="zh-CN"/>
        </w:rPr>
        <w:t>专项</w:t>
      </w:r>
      <w:r>
        <w:rPr>
          <w:rFonts w:hint="default" w:ascii="Times New Roman" w:hAnsi="Times New Roman" w:eastAsia="仿宋_GB2312" w:cs="Times New Roman"/>
          <w:sz w:val="32"/>
          <w:szCs w:val="32"/>
          <w:highlight w:val="none"/>
        </w:rPr>
        <w:t>扶持措施》</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支持企业技术改造</w:t>
      </w:r>
      <w:r>
        <w:rPr>
          <w:rFonts w:hint="eastAsia" w:ascii="Times New Roman" w:hAnsi="Times New Roman" w:eastAsia="仿宋_GB2312" w:cs="Times New Roman"/>
          <w:sz w:val="32"/>
          <w:szCs w:val="32"/>
          <w:highlight w:val="none"/>
          <w:lang w:eastAsia="zh-CN"/>
        </w:rPr>
        <w:t>”政策，在原有</w:t>
      </w:r>
      <w:r>
        <w:rPr>
          <w:rFonts w:hint="default" w:ascii="Times New Roman" w:hAnsi="Times New Roman" w:eastAsia="仿宋_GB2312" w:cs="Times New Roman"/>
          <w:sz w:val="32"/>
          <w:szCs w:val="32"/>
          <w:highlight w:val="none"/>
        </w:rPr>
        <w:t>资助档次基础上提高一个档次予以资助</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每家企业每年资助额最高</w:t>
      </w:r>
      <w:r>
        <w:rPr>
          <w:rFonts w:hint="eastAsia" w:ascii="Times New Roman" w:hAnsi="Times New Roman" w:eastAsia="仿宋_GB2312" w:cs="Times New Roman"/>
          <w:sz w:val="32"/>
          <w:szCs w:val="32"/>
          <w:highlight w:val="none"/>
          <w:lang w:val="en-US" w:eastAsia="zh-CN"/>
        </w:rPr>
        <w:t>2000</w:t>
      </w:r>
      <w:r>
        <w:rPr>
          <w:rFonts w:hint="default" w:ascii="Times New Roman" w:hAnsi="Times New Roman" w:eastAsia="仿宋_GB2312" w:cs="Times New Roman"/>
          <w:sz w:val="32"/>
          <w:szCs w:val="32"/>
          <w:highlight w:val="none"/>
        </w:rPr>
        <w:t>万元。</w:t>
      </w:r>
      <w:r>
        <w:rPr>
          <w:rFonts w:hint="eastAsia" w:ascii="仿宋_GB2312" w:hAnsi="仿宋_GB2312" w:eastAsia="仿宋_GB2312" w:cs="仿宋_GB2312"/>
          <w:sz w:val="32"/>
          <w:highlight w:val="none"/>
          <w:lang w:eastAsia="zh-CN"/>
        </w:rPr>
        <w:t>（</w:t>
      </w:r>
      <w:r>
        <w:rPr>
          <w:rFonts w:hint="eastAsia" w:ascii="仿宋_GB2312" w:hAnsi="仿宋_GB2312" w:eastAsia="仿宋_GB2312" w:cs="仿宋_GB2312"/>
          <w:sz w:val="32"/>
          <w:highlight w:val="none"/>
          <w:lang w:val="en-US" w:eastAsia="zh-CN"/>
        </w:rPr>
        <w:t>责任单位：区工业和信息化局）</w:t>
      </w:r>
    </w:p>
    <w:p>
      <w:pPr>
        <w:pStyle w:val="6"/>
        <w:keepNext w:val="0"/>
        <w:keepLines w:val="0"/>
        <w:pageBreakBefore w:val="0"/>
        <w:widowControl w:val="0"/>
        <w:wordWrap/>
        <w:topLinePunct w:val="0"/>
        <w:bidi w:val="0"/>
        <w:spacing w:beforeAutospacing="0" w:afterAutospacing="0" w:line="560" w:lineRule="exact"/>
        <w:ind w:left="0" w:leftChars="0" w:firstLine="643" w:firstLineChars="200"/>
        <w:jc w:val="both"/>
        <w:rPr>
          <w:rFonts w:hint="default" w:ascii="Times New Roman" w:hAnsi="Times New Roman" w:eastAsia="仿宋_GB2312" w:cs="Times New Roman"/>
          <w:sz w:val="32"/>
          <w:szCs w:val="32"/>
        </w:rPr>
      </w:pPr>
      <w:r>
        <w:rPr>
          <w:rFonts w:hint="eastAsia" w:ascii="仿宋_GB2312" w:eastAsia="仿宋_GB2312" w:cstheme="minorBidi"/>
          <w:b/>
          <w:bCs/>
          <w:sz w:val="32"/>
          <w:szCs w:val="24"/>
          <w:lang w:val="en-US" w:eastAsia="zh-CN"/>
        </w:rPr>
        <w:t>10</w:t>
      </w:r>
      <w:r>
        <w:rPr>
          <w:rFonts w:hint="eastAsia" w:ascii="仿宋_GB2312" w:eastAsia="仿宋_GB2312" w:hAnsiTheme="minorHAnsi" w:cstheme="minorBidi"/>
          <w:b/>
          <w:bCs/>
          <w:sz w:val="32"/>
          <w:szCs w:val="24"/>
          <w:highlight w:val="none"/>
        </w:rPr>
        <w:t>.推进上云用数赋智。</w:t>
      </w:r>
      <w:r>
        <w:rPr>
          <w:rFonts w:hint="default" w:ascii="Times New Roman" w:hAnsi="Times New Roman" w:eastAsia="仿宋_GB2312" w:cs="Times New Roman"/>
          <w:sz w:val="32"/>
          <w:szCs w:val="32"/>
          <w:highlight w:val="none"/>
        </w:rPr>
        <w:t>支</w:t>
      </w:r>
      <w:r>
        <w:rPr>
          <w:rFonts w:hint="default" w:ascii="Times New Roman" w:hAnsi="Times New Roman" w:eastAsia="仿宋_GB2312" w:cs="Times New Roman"/>
          <w:sz w:val="32"/>
          <w:szCs w:val="32"/>
        </w:rPr>
        <w:t>持工业互联网服务商针对专精特新企业痛点，推出低成本、快部署、易维护的服务应用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w:t>
      </w:r>
      <w:r>
        <w:rPr>
          <w:rFonts w:hint="eastAsia" w:ascii="仿宋_GB2312" w:hAnsi="仿宋_GB2312" w:eastAsia="仿宋_GB2312" w:cs="仿宋_GB2312"/>
          <w:sz w:val="32"/>
          <w:szCs w:val="32"/>
        </w:rPr>
        <w:t>专精特新企业</w:t>
      </w:r>
      <w:r>
        <w:rPr>
          <w:rFonts w:hint="default" w:ascii="Times New Roman" w:hAnsi="Times New Roman" w:eastAsia="仿宋_GB2312" w:cs="Times New Roman"/>
          <w:sz w:val="32"/>
          <w:szCs w:val="32"/>
        </w:rPr>
        <w:t>采购</w:t>
      </w:r>
      <w:r>
        <w:rPr>
          <w:rFonts w:hint="eastAsia" w:ascii="Times New Roman" w:hAnsi="Times New Roman" w:eastAsia="仿宋_GB2312" w:cs="Times New Roman"/>
          <w:sz w:val="32"/>
          <w:szCs w:val="32"/>
          <w:lang w:eastAsia="zh-CN"/>
        </w:rPr>
        <w:t>辖区</w:t>
      </w:r>
      <w:r>
        <w:rPr>
          <w:rFonts w:hint="default" w:ascii="Times New Roman" w:hAnsi="Times New Roman" w:eastAsia="仿宋_GB2312" w:cs="Times New Roman"/>
          <w:sz w:val="32"/>
          <w:szCs w:val="32"/>
        </w:rPr>
        <w:t>重点云服务供应商云资源</w:t>
      </w:r>
      <w:r>
        <w:rPr>
          <w:rFonts w:hint="eastAsia" w:ascii="Times New Roman" w:hAnsi="Times New Roman" w:eastAsia="仿宋_GB2312" w:cs="Times New Roman"/>
          <w:sz w:val="32"/>
          <w:szCs w:val="32"/>
          <w:lang w:eastAsia="zh-CN"/>
        </w:rPr>
        <w:t>的，</w:t>
      </w:r>
      <w:r>
        <w:rPr>
          <w:rFonts w:hint="eastAsia" w:ascii="Times New Roman" w:hAnsi="Times New Roman" w:eastAsia="仿宋_GB2312" w:cs="Times New Roman"/>
          <w:sz w:val="32"/>
          <w:szCs w:val="32"/>
          <w:highlight w:val="none"/>
          <w:lang w:eastAsia="zh-CN"/>
        </w:rPr>
        <w:t>按照</w:t>
      </w:r>
      <w:r>
        <w:rPr>
          <w:rFonts w:hint="default" w:ascii="Times New Roman" w:hAnsi="Times New Roman" w:eastAsia="仿宋_GB2312" w:cs="Times New Roman"/>
          <w:sz w:val="32"/>
          <w:szCs w:val="32"/>
          <w:highlight w:val="none"/>
        </w:rPr>
        <w:t>《南山区</w:t>
      </w:r>
      <w:r>
        <w:rPr>
          <w:rFonts w:hint="eastAsia" w:ascii="Times New Roman" w:hAnsi="Times New Roman" w:eastAsia="仿宋_GB2312" w:cs="Times New Roman"/>
          <w:sz w:val="32"/>
          <w:szCs w:val="32"/>
          <w:highlight w:val="none"/>
          <w:lang w:eastAsia="zh-CN"/>
        </w:rPr>
        <w:t>促进</w:t>
      </w:r>
      <w:r>
        <w:rPr>
          <w:rFonts w:hint="eastAsia" w:ascii="Times New Roman" w:hAnsi="Times New Roman" w:eastAsia="仿宋_GB2312" w:cs="Times New Roman"/>
          <w:sz w:val="32"/>
          <w:szCs w:val="32"/>
          <w:highlight w:val="none"/>
        </w:rPr>
        <w:t>重点服务业</w:t>
      </w:r>
      <w:r>
        <w:rPr>
          <w:rFonts w:hint="default" w:ascii="Times New Roman" w:hAnsi="Times New Roman" w:eastAsia="仿宋_GB2312" w:cs="Times New Roman"/>
          <w:sz w:val="32"/>
          <w:szCs w:val="32"/>
          <w:highlight w:val="none"/>
        </w:rPr>
        <w:t>发展</w:t>
      </w:r>
      <w:r>
        <w:rPr>
          <w:rFonts w:hint="eastAsia" w:ascii="Times New Roman" w:hAnsi="Times New Roman" w:eastAsia="仿宋_GB2312" w:cs="Times New Roman"/>
          <w:sz w:val="32"/>
          <w:szCs w:val="32"/>
          <w:highlight w:val="none"/>
          <w:lang w:eastAsia="zh-CN"/>
        </w:rPr>
        <w:t>专项</w:t>
      </w:r>
      <w:r>
        <w:rPr>
          <w:rFonts w:hint="default" w:ascii="Times New Roman" w:hAnsi="Times New Roman" w:eastAsia="仿宋_GB2312" w:cs="Times New Roman"/>
          <w:sz w:val="32"/>
          <w:szCs w:val="32"/>
          <w:highlight w:val="none"/>
        </w:rPr>
        <w:t>扶持措施》</w:t>
      </w:r>
      <w:r>
        <w:rPr>
          <w:rFonts w:hint="eastAsia" w:ascii="Times New Roman" w:hAnsi="Times New Roman" w:eastAsia="仿宋_GB2312" w:cs="Times New Roman"/>
          <w:sz w:val="32"/>
          <w:szCs w:val="32"/>
          <w:highlight w:val="none"/>
          <w:lang w:eastAsia="zh-CN"/>
        </w:rPr>
        <w:t>“支持企业数字化转型”政策，将资助比例提高至</w:t>
      </w:r>
      <w:r>
        <w:rPr>
          <w:rFonts w:hint="eastAsia" w:ascii="Times New Roman" w:hAnsi="Times New Roman" w:eastAsia="仿宋_GB2312" w:cs="Times New Roman"/>
          <w:sz w:val="32"/>
          <w:szCs w:val="32"/>
          <w:lang w:eastAsia="zh-CN"/>
        </w:rPr>
        <w:t>50%</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资助上限提高至2</w:t>
      </w:r>
      <w:r>
        <w:rPr>
          <w:rFonts w:hint="default" w:ascii="Times New Roman" w:hAnsi="Times New Roman" w:eastAsia="仿宋_GB2312" w:cs="Times New Roman"/>
          <w:sz w:val="32"/>
          <w:szCs w:val="32"/>
          <w:highlight w:val="none"/>
        </w:rPr>
        <w:t>00万元。</w:t>
      </w:r>
      <w:r>
        <w:rPr>
          <w:rFonts w:hint="default" w:ascii="Times New Roman" w:hAnsi="Times New Roman" w:eastAsia="仿宋_GB2312" w:cs="Times New Roman"/>
          <w:sz w:val="32"/>
          <w:szCs w:val="32"/>
        </w:rPr>
        <w:t>（责任单位：</w:t>
      </w:r>
    </w:p>
    <w:p>
      <w:pPr>
        <w:pStyle w:val="6"/>
        <w:keepNext w:val="0"/>
        <w:keepLines w:val="0"/>
        <w:pageBreakBefore w:val="0"/>
        <w:widowControl w:val="0"/>
        <w:wordWrap/>
        <w:topLinePunct w:val="0"/>
        <w:bidi w:val="0"/>
        <w:spacing w:beforeAutospacing="0" w:afterAutospacing="0" w:line="560" w:lineRule="exact"/>
        <w:ind w:left="0" w:leftChars="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区工业和信息化局）</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黑体" w:hAnsi="黑体" w:eastAsia="黑体" w:cs="黑体"/>
          <w:sz w:val="32"/>
          <w:highlight w:val="none"/>
          <w:lang w:val="en-US" w:eastAsia="zh-CN"/>
        </w:rPr>
      </w:pPr>
      <w:r>
        <w:rPr>
          <w:rFonts w:hint="eastAsia" w:ascii="黑体" w:hAnsi="黑体" w:eastAsia="黑体" w:cs="黑体"/>
          <w:sz w:val="32"/>
          <w:szCs w:val="32"/>
          <w:highlight w:val="none"/>
          <w:lang w:eastAsia="zh-CN"/>
        </w:rPr>
        <w:t>四、加强</w:t>
      </w:r>
      <w:r>
        <w:rPr>
          <w:rFonts w:hint="eastAsia" w:ascii="黑体" w:hAnsi="黑体" w:eastAsia="黑体" w:cs="黑体"/>
          <w:sz w:val="32"/>
          <w:szCs w:val="32"/>
          <w:highlight w:val="none"/>
          <w:lang w:val="en-US" w:eastAsia="zh-CN"/>
        </w:rPr>
        <w:t>市场推广应用</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eastAsia" w:ascii="仿宋_GB2312" w:eastAsia="仿宋_GB2312"/>
          <w:sz w:val="32"/>
          <w:highlight w:val="none"/>
          <w:lang w:val="en-US" w:eastAsia="zh-CN"/>
        </w:rPr>
      </w:pPr>
      <w:r>
        <w:rPr>
          <w:rFonts w:hint="eastAsia" w:ascii="仿宋_GB2312" w:eastAsia="仿宋_GB2312"/>
          <w:b/>
          <w:bCs/>
          <w:sz w:val="32"/>
          <w:highlight w:val="none"/>
          <w:lang w:val="en-US" w:eastAsia="zh-CN"/>
        </w:rPr>
        <w:t>11.</w:t>
      </w:r>
      <w:r>
        <w:rPr>
          <w:rFonts w:hint="eastAsia" w:ascii="仿宋_GB2312" w:eastAsia="仿宋_GB2312"/>
          <w:b/>
          <w:bCs/>
          <w:sz w:val="32"/>
          <w:highlight w:val="none"/>
          <w:lang w:eastAsia="zh-CN"/>
        </w:rPr>
        <w:t>加大</w:t>
      </w:r>
      <w:r>
        <w:rPr>
          <w:rFonts w:hint="eastAsia" w:ascii="仿宋_GB2312" w:eastAsia="仿宋_GB2312"/>
          <w:b/>
          <w:bCs/>
          <w:sz w:val="32"/>
          <w:highlight w:val="none"/>
          <w:lang w:val="en-US" w:eastAsia="zh-CN"/>
        </w:rPr>
        <w:t>创新产品推广应用</w:t>
      </w:r>
      <w:r>
        <w:rPr>
          <w:rFonts w:hint="eastAsia" w:ascii="仿宋_GB2312" w:eastAsia="仿宋_GB2312"/>
          <w:b/>
          <w:bCs/>
          <w:sz w:val="32"/>
          <w:highlight w:val="none"/>
        </w:rPr>
        <w:t>。</w:t>
      </w:r>
      <w:r>
        <w:rPr>
          <w:rFonts w:hint="eastAsia" w:ascii="仿宋_GB2312" w:eastAsia="仿宋_GB2312"/>
          <w:sz w:val="32"/>
          <w:szCs w:val="32"/>
          <w:lang w:eastAsia="zh-CN"/>
        </w:rPr>
        <w:t>在南山区企业服务综合平台创新产品展示区域打造“专精特新企业专栏”，展示、推广专精特新企业创新产品</w:t>
      </w:r>
      <w:r>
        <w:rPr>
          <w:rFonts w:hint="eastAsia" w:ascii="仿宋_GB2312" w:eastAsia="仿宋_GB2312"/>
          <w:sz w:val="32"/>
          <w:szCs w:val="32"/>
          <w:highlight w:val="none"/>
          <w:lang w:val="en-US" w:eastAsia="zh-CN"/>
        </w:rPr>
        <w:t>。强化政府采购支持，组织区内采购大户开展专精特新企业专场对接，鼓励政府采购单位按规定使用项目节余资金购买“财产基本险”“财产综合险”等险种，加大采购专精特新企业的创新产品和服务，对专精特新企业的采购金额占区财政支出比例保持每年递增。</w:t>
      </w:r>
      <w:r>
        <w:rPr>
          <w:rFonts w:hint="eastAsia" w:ascii="仿宋_GB2312" w:eastAsia="仿宋_GB2312"/>
          <w:sz w:val="32"/>
          <w:highlight w:val="none"/>
          <w:lang w:eastAsia="zh-CN"/>
        </w:rPr>
        <w:t>（</w:t>
      </w:r>
      <w:r>
        <w:rPr>
          <w:rFonts w:hint="eastAsia" w:ascii="仿宋_GB2312" w:eastAsia="仿宋_GB2312"/>
          <w:sz w:val="32"/>
          <w:highlight w:val="none"/>
          <w:lang w:val="en-US" w:eastAsia="zh-CN"/>
        </w:rPr>
        <w:t>责任单位：区工业和信息化局、区财</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both"/>
        <w:textAlignment w:val="auto"/>
        <w:rPr>
          <w:rFonts w:hint="default" w:ascii="仿宋_GB2312" w:eastAsia="仿宋_GB2312"/>
          <w:sz w:val="32"/>
          <w:highlight w:val="none"/>
          <w:lang w:val="en-US" w:eastAsia="zh-CN"/>
        </w:rPr>
      </w:pPr>
      <w:r>
        <w:rPr>
          <w:rFonts w:hint="eastAsia" w:ascii="仿宋_GB2312" w:eastAsia="仿宋_GB2312"/>
          <w:sz w:val="32"/>
          <w:highlight w:val="none"/>
          <w:lang w:val="en-US" w:eastAsia="zh-CN"/>
        </w:rPr>
        <w:t>政局、区企业发展服务中心、各相关采购单位）</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eastAsia" w:ascii="仿宋_GB2312" w:eastAsia="仿宋_GB2312"/>
          <w:sz w:val="32"/>
          <w:highlight w:val="none"/>
          <w:lang w:val="en-US" w:eastAsia="zh-CN"/>
        </w:rPr>
      </w:pPr>
      <w:r>
        <w:rPr>
          <w:rFonts w:hint="eastAsia" w:ascii="仿宋_GB2312" w:eastAsia="仿宋_GB2312"/>
          <w:b/>
          <w:bCs/>
          <w:sz w:val="32"/>
          <w:highlight w:val="none"/>
          <w:lang w:val="en-US" w:eastAsia="zh-CN"/>
        </w:rPr>
        <w:t>12.促进产业链协同发展。</w:t>
      </w:r>
      <w:r>
        <w:rPr>
          <w:rFonts w:hint="eastAsia" w:ascii="仿宋_GB2312" w:eastAsia="仿宋_GB2312"/>
          <w:sz w:val="32"/>
          <w:highlight w:val="none"/>
          <w:lang w:val="en-US" w:eastAsia="zh-CN"/>
        </w:rPr>
        <w:t>鼓励区内工业龙头企业带动产业链上游专精特新企业协同发展，对上年度产值20亿元及以上，且属于深圳市战略性新兴产业领域的工业企业，直接从南山区专精特新企业采购原材料或软件及信息技术服务的，按采购金额的一定比例给予每年最高1000万元的资助。</w:t>
      </w:r>
      <w:r>
        <w:rPr>
          <w:rFonts w:hint="eastAsia" w:ascii="仿宋_GB2312" w:eastAsia="仿宋_GB2312"/>
          <w:sz w:val="32"/>
          <w:highlight w:val="none"/>
          <w:lang w:eastAsia="zh-CN"/>
        </w:rPr>
        <w:t>（</w:t>
      </w:r>
      <w:r>
        <w:rPr>
          <w:rFonts w:hint="eastAsia" w:ascii="仿宋_GB2312" w:eastAsia="仿宋_GB2312"/>
          <w:sz w:val="32"/>
          <w:highlight w:val="none"/>
          <w:lang w:val="en-US" w:eastAsia="zh-CN"/>
        </w:rPr>
        <w:t>责任单位：区工业和</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both"/>
        <w:textAlignment w:val="auto"/>
        <w:rPr>
          <w:rFonts w:hint="eastAsia" w:ascii="仿宋_GB2312" w:eastAsia="仿宋_GB2312"/>
          <w:sz w:val="32"/>
          <w:highlight w:val="none"/>
          <w:lang w:val="en-US" w:eastAsia="zh-CN"/>
        </w:rPr>
      </w:pPr>
      <w:r>
        <w:rPr>
          <w:rFonts w:hint="eastAsia" w:ascii="仿宋_GB2312" w:eastAsia="仿宋_GB2312"/>
          <w:sz w:val="32"/>
          <w:highlight w:val="none"/>
          <w:lang w:val="en-US" w:eastAsia="zh-CN"/>
        </w:rPr>
        <w:t>信息化局）</w:t>
      </w:r>
    </w:p>
    <w:p>
      <w:pPr>
        <w:pStyle w:val="6"/>
        <w:keepNext w:val="0"/>
        <w:keepLines w:val="0"/>
        <w:pageBreakBefore w:val="0"/>
        <w:widowControl w:val="0"/>
        <w:kinsoku/>
        <w:wordWrap/>
        <w:overflowPunct/>
        <w:topLinePunct w:val="0"/>
        <w:autoSpaceDE/>
        <w:autoSpaceDN/>
        <w:bidi w:val="0"/>
        <w:adjustRightInd/>
        <w:spacing w:beforeAutospacing="0" w:afterAutospacing="0" w:line="560" w:lineRule="exact"/>
        <w:ind w:left="0" w:leftChars="0" w:firstLine="640" w:firstLineChars="200"/>
        <w:jc w:val="both"/>
        <w:textAlignment w:val="auto"/>
        <w:rPr>
          <w:rFonts w:hint="eastAsia" w:ascii="黑体" w:hAnsi="黑体" w:eastAsia="黑体" w:cs="黑体"/>
          <w:sz w:val="32"/>
          <w:highlight w:val="yellow"/>
          <w:lang w:val="en-US" w:eastAsia="zh-CN"/>
        </w:rPr>
      </w:pPr>
      <w:r>
        <w:rPr>
          <w:rFonts w:hint="eastAsia" w:ascii="黑体" w:hAnsi="黑体" w:eastAsia="黑体" w:cs="黑体"/>
          <w:sz w:val="32"/>
          <w:szCs w:val="32"/>
          <w:highlight w:val="none"/>
          <w:lang w:eastAsia="zh-CN"/>
        </w:rPr>
        <w:t>五、</w:t>
      </w:r>
      <w:r>
        <w:rPr>
          <w:rFonts w:hint="eastAsia" w:ascii="黑体" w:hAnsi="黑体" w:eastAsia="黑体" w:cs="黑体"/>
          <w:sz w:val="32"/>
          <w:szCs w:val="32"/>
          <w:highlight w:val="none"/>
          <w:lang w:val="en-US" w:eastAsia="zh-CN"/>
        </w:rPr>
        <w:t>优化</w:t>
      </w:r>
      <w:r>
        <w:rPr>
          <w:rFonts w:hint="eastAsia" w:ascii="黑体" w:hAnsi="黑体" w:eastAsia="黑体" w:cs="黑体"/>
          <w:sz w:val="32"/>
        </w:rPr>
        <w:t>金融服务</w:t>
      </w:r>
    </w:p>
    <w:p>
      <w:pPr>
        <w:pStyle w:val="6"/>
        <w:keepNext w:val="0"/>
        <w:keepLines w:val="0"/>
        <w:pageBreakBefore w:val="0"/>
        <w:widowControl w:val="0"/>
        <w:kinsoku/>
        <w:wordWrap/>
        <w:overflowPunct/>
        <w:topLinePunct w:val="0"/>
        <w:autoSpaceDE/>
        <w:autoSpaceDN/>
        <w:bidi w:val="0"/>
        <w:adjustRightInd/>
        <w:spacing w:beforeAutospacing="0" w:afterAutospacing="0" w:line="560" w:lineRule="exact"/>
        <w:ind w:left="0" w:leftChars="0" w:firstLine="643"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13.降低融资成本。</w:t>
      </w:r>
      <w:r>
        <w:rPr>
          <w:rFonts w:hint="eastAsia" w:ascii="仿宋_GB2312" w:hAnsi="仿宋_GB2312" w:eastAsia="仿宋_GB2312" w:cs="仿宋_GB2312"/>
          <w:b w:val="0"/>
          <w:bCs w:val="0"/>
          <w:sz w:val="32"/>
          <w:szCs w:val="32"/>
          <w:highlight w:val="none"/>
          <w:lang w:val="en-US" w:eastAsia="zh-CN"/>
        </w:rPr>
        <w:t>对专精特新“小巨人”企业的流动资金贷款，最高按实际支付利息70%的比例给予贴息扶持，每年贴息总额最高300万元。对</w:t>
      </w:r>
      <w:r>
        <w:rPr>
          <w:rFonts w:hint="eastAsia" w:ascii="仿宋_GB2312" w:eastAsia="仿宋_GB2312"/>
          <w:sz w:val="32"/>
          <w:highlight w:val="none"/>
          <w:lang w:val="en-US" w:eastAsia="zh-CN"/>
        </w:rPr>
        <w:t>专精特新企业</w:t>
      </w:r>
      <w:r>
        <w:rPr>
          <w:rFonts w:hint="eastAsia" w:ascii="仿宋_GB2312" w:hAnsi="仿宋_GB2312" w:eastAsia="仿宋_GB2312" w:cs="仿宋_GB2312"/>
          <w:b w:val="0"/>
          <w:bCs w:val="0"/>
          <w:sz w:val="32"/>
          <w:szCs w:val="32"/>
          <w:highlight w:val="none"/>
          <w:lang w:val="en-US" w:eastAsia="zh-CN"/>
        </w:rPr>
        <w:t>符合条件的商业保理、融资租赁、企业发债等融资支持项目，按照</w:t>
      </w:r>
      <w:r>
        <w:rPr>
          <w:rFonts w:hint="eastAsia" w:ascii="仿宋_GB2312" w:hAnsi="仿宋_GB2312" w:eastAsia="仿宋_GB2312" w:cs="仿宋_GB2312"/>
          <w:sz w:val="32"/>
          <w:szCs w:val="32"/>
          <w:highlight w:val="none"/>
        </w:rPr>
        <w:t>《南山区</w:t>
      </w:r>
      <w:r>
        <w:rPr>
          <w:rFonts w:hint="eastAsia" w:ascii="仿宋_GB2312" w:hAnsi="仿宋_GB2312" w:eastAsia="仿宋_GB2312" w:cs="仿宋_GB2312"/>
          <w:sz w:val="32"/>
          <w:szCs w:val="32"/>
          <w:highlight w:val="none"/>
          <w:lang w:eastAsia="zh-CN"/>
        </w:rPr>
        <w:t>促进</w:t>
      </w:r>
      <w:r>
        <w:rPr>
          <w:rFonts w:hint="eastAsia" w:ascii="仿宋_GB2312" w:hAnsi="仿宋_GB2312" w:eastAsia="仿宋_GB2312" w:cs="仿宋_GB2312"/>
          <w:sz w:val="32"/>
          <w:szCs w:val="32"/>
          <w:highlight w:val="none"/>
        </w:rPr>
        <w:t>金融</w:t>
      </w:r>
      <w:r>
        <w:rPr>
          <w:rFonts w:hint="eastAsia" w:ascii="仿宋_GB2312" w:hAnsi="仿宋_GB2312" w:eastAsia="仿宋_GB2312" w:cs="仿宋_GB2312"/>
          <w:sz w:val="32"/>
          <w:szCs w:val="32"/>
          <w:highlight w:val="none"/>
          <w:lang w:eastAsia="zh-CN"/>
        </w:rPr>
        <w:t>业</w:t>
      </w:r>
      <w:r>
        <w:rPr>
          <w:rFonts w:hint="eastAsia" w:ascii="仿宋_GB2312" w:hAnsi="仿宋_GB2312" w:eastAsia="仿宋_GB2312" w:cs="仿宋_GB2312"/>
          <w:sz w:val="32"/>
          <w:szCs w:val="32"/>
          <w:highlight w:val="none"/>
        </w:rPr>
        <w:t>发展</w:t>
      </w:r>
      <w:r>
        <w:rPr>
          <w:rFonts w:hint="eastAsia" w:ascii="仿宋_GB2312" w:hAnsi="仿宋_GB2312" w:eastAsia="仿宋_GB2312" w:cs="仿宋_GB2312"/>
          <w:sz w:val="32"/>
          <w:szCs w:val="32"/>
          <w:highlight w:val="none"/>
          <w:lang w:eastAsia="zh-CN"/>
        </w:rPr>
        <w:t>专项</w:t>
      </w:r>
      <w:r>
        <w:rPr>
          <w:rFonts w:hint="eastAsia" w:ascii="仿宋_GB2312" w:hAnsi="仿宋_GB2312" w:eastAsia="仿宋_GB2312" w:cs="仿宋_GB2312"/>
          <w:sz w:val="32"/>
          <w:szCs w:val="32"/>
          <w:highlight w:val="none"/>
        </w:rPr>
        <w:t>扶持措施》</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支持供应链金融融资</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政策，将资助上限提高50%。区属担保公司优先受理</w:t>
      </w:r>
      <w:r>
        <w:rPr>
          <w:rFonts w:hint="eastAsia" w:ascii="仿宋_GB2312" w:eastAsia="仿宋_GB2312"/>
          <w:sz w:val="32"/>
          <w:highlight w:val="none"/>
          <w:lang w:val="en-US" w:eastAsia="zh-CN"/>
        </w:rPr>
        <w:t>专精特新</w:t>
      </w:r>
      <w:r>
        <w:rPr>
          <w:rFonts w:hint="eastAsia" w:ascii="仿宋_GB2312" w:hAnsi="仿宋_GB2312" w:eastAsia="仿宋_GB2312" w:cs="仿宋_GB2312"/>
          <w:b w:val="0"/>
          <w:bCs w:val="0"/>
          <w:sz w:val="32"/>
          <w:szCs w:val="32"/>
          <w:highlight w:val="none"/>
          <w:lang w:val="en-US" w:eastAsia="zh-CN"/>
        </w:rPr>
        <w:t>企业的融资担保申请，对专精特新企业按不高于0.5%/年的优惠费率收取担保费。（责任</w:t>
      </w:r>
    </w:p>
    <w:p>
      <w:pPr>
        <w:pStyle w:val="6"/>
        <w:keepNext w:val="0"/>
        <w:keepLines w:val="0"/>
        <w:pageBreakBefore w:val="0"/>
        <w:widowControl w:val="0"/>
        <w:kinsoku/>
        <w:wordWrap/>
        <w:overflowPunct/>
        <w:topLinePunct w:val="0"/>
        <w:autoSpaceDE/>
        <w:autoSpaceDN/>
        <w:bidi w:val="0"/>
        <w:adjustRightInd/>
        <w:spacing w:beforeAutospacing="0" w:afterAutospacing="0" w:line="560" w:lineRule="exact"/>
        <w:ind w:left="0" w:leftChars="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单位：区工业和信息化局、区国资局、南山战新投公司）</w:t>
      </w:r>
    </w:p>
    <w:p>
      <w:pPr>
        <w:pStyle w:val="6"/>
        <w:keepNext w:val="0"/>
        <w:keepLines w:val="0"/>
        <w:pageBreakBefore w:val="0"/>
        <w:widowControl w:val="0"/>
        <w:kinsoku/>
        <w:wordWrap/>
        <w:overflowPunct/>
        <w:topLinePunct w:val="0"/>
        <w:autoSpaceDE/>
        <w:autoSpaceDN/>
        <w:bidi w:val="0"/>
        <w:adjustRightInd/>
        <w:spacing w:beforeAutospacing="0" w:afterAutospacing="0" w:line="560" w:lineRule="exact"/>
        <w:ind w:left="0" w:leftChars="0" w:firstLine="643"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14.实施100亿元金融专项支持计划。</w:t>
      </w:r>
      <w:r>
        <w:rPr>
          <w:rFonts w:hint="eastAsia" w:ascii="仿宋_GB2312" w:hAnsi="仿宋_GB2312" w:eastAsia="仿宋_GB2312" w:cs="仿宋_GB2312"/>
          <w:sz w:val="32"/>
          <w:szCs w:val="32"/>
          <w:highlight w:val="none"/>
        </w:rPr>
        <w:t>设立</w:t>
      </w:r>
      <w:r>
        <w:rPr>
          <w:rFonts w:hint="eastAsia" w:ascii="仿宋_GB2312" w:hAnsi="仿宋_GB2312" w:eastAsia="仿宋_GB2312" w:cs="仿宋_GB2312"/>
          <w:sz w:val="32"/>
          <w:szCs w:val="32"/>
          <w:highlight w:val="none"/>
          <w:lang w:eastAsia="zh-CN"/>
        </w:rPr>
        <w:t>首期规模</w:t>
      </w:r>
      <w:r>
        <w:rPr>
          <w:rFonts w:hint="eastAsia" w:ascii="仿宋_GB2312" w:hAnsi="仿宋_GB2312" w:eastAsia="仿宋_GB2312" w:cs="仿宋_GB2312"/>
          <w:sz w:val="32"/>
          <w:szCs w:val="32"/>
          <w:highlight w:val="none"/>
        </w:rPr>
        <w:t>5亿元</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南山区专精特新企业股权投资基金，搭建投融资多方合作平台，举办专精特新企业专场路演活动，支持企业参与资本市场直接融资。鼓励银行业金融机构开展投贷联动业务，支持银行加大专精特新企业信贷投放力度。</w:t>
      </w:r>
      <w:r>
        <w:rPr>
          <w:rFonts w:hint="eastAsia" w:ascii="仿宋_GB2312" w:hAnsi="仿宋_GB2312" w:eastAsia="仿宋_GB2312" w:cs="仿宋_GB2312"/>
          <w:b w:val="0"/>
          <w:bCs w:val="0"/>
          <w:sz w:val="32"/>
          <w:szCs w:val="32"/>
          <w:highlight w:val="none"/>
          <w:lang w:val="en-US" w:eastAsia="zh-CN"/>
        </w:rPr>
        <w:t>（责任单位：区工业和信息化局、区国</w:t>
      </w:r>
    </w:p>
    <w:p>
      <w:pPr>
        <w:pStyle w:val="6"/>
        <w:keepNext w:val="0"/>
        <w:keepLines w:val="0"/>
        <w:pageBreakBefore w:val="0"/>
        <w:widowControl w:val="0"/>
        <w:kinsoku/>
        <w:wordWrap/>
        <w:overflowPunct/>
        <w:topLinePunct w:val="0"/>
        <w:autoSpaceDE/>
        <w:autoSpaceDN/>
        <w:bidi w:val="0"/>
        <w:adjustRightInd/>
        <w:spacing w:beforeAutospacing="0" w:afterAutospacing="0" w:line="560" w:lineRule="exact"/>
        <w:ind w:left="0" w:leftChars="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资局、南山战新投公司）</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eastAsia" w:ascii="仿宋_GB2312" w:eastAsia="仿宋_GB2312"/>
          <w:sz w:val="32"/>
          <w:highlight w:val="none"/>
          <w:lang w:val="en-US" w:eastAsia="zh-CN"/>
        </w:rPr>
      </w:pPr>
      <w:r>
        <w:rPr>
          <w:rFonts w:hint="eastAsia" w:ascii="仿宋_GB2312" w:hAnsi="仿宋_GB2312" w:eastAsia="仿宋_GB2312" w:cs="仿宋_GB2312"/>
          <w:b/>
          <w:bCs/>
          <w:sz w:val="32"/>
          <w:szCs w:val="32"/>
          <w:highlight w:val="none"/>
          <w:lang w:val="en-US" w:eastAsia="zh-CN"/>
        </w:rPr>
        <w:t>15.加强上市培育。</w:t>
      </w:r>
      <w:r>
        <w:rPr>
          <w:rFonts w:hint="eastAsia" w:ascii="仿宋_GB2312" w:hAnsi="仿宋_GB2312" w:eastAsia="仿宋_GB2312" w:cs="仿宋_GB2312"/>
          <w:b w:val="0"/>
          <w:bCs w:val="0"/>
          <w:sz w:val="32"/>
          <w:szCs w:val="32"/>
          <w:highlight w:val="none"/>
          <w:lang w:val="en-US" w:eastAsia="zh-CN"/>
        </w:rPr>
        <w:t>将专精特新“小巨人”企业纳入重点上市培育范围，“一企一专员”精准培育。通过“南山区上市培育基地”协调解决对</w:t>
      </w:r>
      <w:r>
        <w:rPr>
          <w:rFonts w:hint="eastAsia" w:ascii="仿宋_GB2312" w:eastAsia="仿宋_GB2312"/>
          <w:sz w:val="32"/>
          <w:highlight w:val="none"/>
          <w:lang w:val="en-US" w:eastAsia="zh-CN"/>
        </w:rPr>
        <w:t>专精特新企业</w:t>
      </w:r>
      <w:r>
        <w:rPr>
          <w:rFonts w:hint="eastAsia" w:ascii="仿宋_GB2312" w:hAnsi="仿宋_GB2312" w:eastAsia="仿宋_GB2312" w:cs="仿宋_GB2312"/>
          <w:b w:val="0"/>
          <w:bCs w:val="0"/>
          <w:sz w:val="32"/>
          <w:szCs w:val="32"/>
          <w:highlight w:val="none"/>
          <w:lang w:val="en-US" w:eastAsia="zh-CN"/>
        </w:rPr>
        <w:t>上市过程中的困难和问题,加快企业上市进程，对成功上市的</w:t>
      </w:r>
      <w:r>
        <w:rPr>
          <w:rFonts w:hint="eastAsia" w:ascii="仿宋_GB2312" w:hAnsi="仿宋_GB2312" w:eastAsia="仿宋_GB2312" w:cs="仿宋_GB2312"/>
          <w:sz w:val="32"/>
          <w:szCs w:val="32"/>
        </w:rPr>
        <w:t>专精特新企业</w:t>
      </w:r>
      <w:r>
        <w:rPr>
          <w:rFonts w:hint="eastAsia" w:ascii="仿宋_GB2312" w:hAnsi="仿宋_GB2312" w:eastAsia="仿宋_GB2312" w:cs="仿宋_GB2312"/>
          <w:b w:val="0"/>
          <w:bCs w:val="0"/>
          <w:sz w:val="32"/>
          <w:szCs w:val="32"/>
          <w:highlight w:val="none"/>
          <w:lang w:val="en-US" w:eastAsia="zh-CN"/>
        </w:rPr>
        <w:t>给予</w:t>
      </w:r>
      <w:r>
        <w:rPr>
          <w:rFonts w:hint="eastAsia" w:ascii="仿宋_GB2312" w:eastAsia="仿宋_GB2312"/>
          <w:sz w:val="32"/>
          <w:highlight w:val="none"/>
          <w:lang w:val="en-US" w:eastAsia="zh-CN"/>
        </w:rPr>
        <w:t>最高500万元的</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eastAsia="仿宋_GB2312"/>
          <w:sz w:val="32"/>
          <w:highlight w:val="none"/>
          <w:lang w:val="en-US" w:eastAsia="zh-CN"/>
        </w:rPr>
        <w:t>奖励</w:t>
      </w:r>
      <w:r>
        <w:rPr>
          <w:rFonts w:hint="eastAsia" w:ascii="仿宋_GB2312" w:hAnsi="仿宋_GB2312" w:eastAsia="仿宋_GB2312" w:cs="仿宋_GB2312"/>
          <w:b w:val="0"/>
          <w:bCs w:val="0"/>
          <w:sz w:val="32"/>
          <w:szCs w:val="32"/>
          <w:highlight w:val="none"/>
          <w:lang w:val="en-US" w:eastAsia="zh-CN"/>
        </w:rPr>
        <w:t>。（责任单位：区工业和信息化局）</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黑体" w:hAnsi="黑体" w:eastAsia="黑体" w:cs="黑体"/>
          <w:sz w:val="32"/>
          <w:highlight w:val="none"/>
          <w:lang w:val="en-US" w:eastAsia="zh-CN"/>
        </w:rPr>
      </w:pPr>
      <w:r>
        <w:rPr>
          <w:rFonts w:hint="eastAsia" w:ascii="黑体" w:hAnsi="黑体" w:eastAsia="黑体" w:cs="黑体"/>
          <w:color w:val="auto"/>
          <w:sz w:val="32"/>
          <w:szCs w:val="32"/>
          <w:highlight w:val="none"/>
          <w:lang w:val="en-US" w:eastAsia="zh-CN"/>
        </w:rPr>
        <w:t>六、加大</w:t>
      </w:r>
      <w:r>
        <w:rPr>
          <w:rFonts w:hint="eastAsia" w:ascii="黑体" w:hAnsi="黑体" w:eastAsia="黑体" w:cs="黑体"/>
          <w:color w:val="auto"/>
          <w:sz w:val="32"/>
          <w:szCs w:val="32"/>
          <w:highlight w:val="none"/>
        </w:rPr>
        <w:t>人才</w:t>
      </w:r>
      <w:r>
        <w:rPr>
          <w:rFonts w:hint="eastAsia" w:ascii="黑体" w:hAnsi="黑体" w:eastAsia="黑体" w:cs="黑体"/>
          <w:color w:val="auto"/>
          <w:sz w:val="32"/>
          <w:szCs w:val="32"/>
          <w:highlight w:val="none"/>
          <w:lang w:val="en-US" w:eastAsia="zh-CN"/>
        </w:rPr>
        <w:t>支持</w:t>
      </w:r>
    </w:p>
    <w:p>
      <w:pPr>
        <w:pStyle w:val="6"/>
        <w:keepNext w:val="0"/>
        <w:keepLines w:val="0"/>
        <w:pageBreakBefore w:val="0"/>
        <w:widowControl w:val="0"/>
        <w:kinsoku/>
        <w:wordWrap/>
        <w:overflowPunct/>
        <w:topLinePunct w:val="0"/>
        <w:autoSpaceDE/>
        <w:autoSpaceDN/>
        <w:bidi w:val="0"/>
        <w:adjustRightInd/>
        <w:spacing w:beforeAutospacing="0" w:afterAutospacing="0" w:line="560" w:lineRule="exact"/>
        <w:ind w:left="0" w:leftChars="0" w:firstLine="643"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highlight w:val="none"/>
          <w:lang w:val="en-US" w:eastAsia="zh-CN"/>
        </w:rPr>
        <w:t>16</w:t>
      </w:r>
      <w:r>
        <w:rPr>
          <w:rFonts w:hint="eastAsia" w:ascii="仿宋_GB2312" w:hAnsi="仿宋_GB2312" w:eastAsia="仿宋_GB2312" w:cs="仿宋_GB2312"/>
          <w:b/>
          <w:bCs/>
          <w:sz w:val="32"/>
          <w:highlight w:val="none"/>
        </w:rPr>
        <w:t>.</w:t>
      </w:r>
      <w:r>
        <w:rPr>
          <w:rFonts w:hint="eastAsia" w:ascii="仿宋_GB2312" w:hAnsi="仿宋_GB2312" w:eastAsia="仿宋_GB2312" w:cs="仿宋_GB2312"/>
          <w:b/>
          <w:bCs/>
          <w:sz w:val="32"/>
          <w:szCs w:val="32"/>
          <w:highlight w:val="none"/>
          <w:lang w:val="en-US" w:eastAsia="zh-CN"/>
        </w:rPr>
        <w:t>保障企业用人需求。</w:t>
      </w:r>
      <w:r>
        <w:rPr>
          <w:rFonts w:hint="eastAsia" w:ascii="仿宋_GB2312" w:hAnsi="仿宋_GB2312" w:eastAsia="仿宋_GB2312" w:cs="仿宋_GB2312"/>
          <w:sz w:val="32"/>
          <w:highlight w:val="none"/>
        </w:rPr>
        <w:t>根据相关政策，对在专精特新“小巨人”企业连续工作1年以上的优秀人才给予</w:t>
      </w:r>
      <w:r>
        <w:rPr>
          <w:rFonts w:hint="eastAsia" w:ascii="仿宋_GB2312" w:hAnsi="仿宋_GB2312" w:eastAsia="仿宋_GB2312" w:cs="仿宋_GB2312"/>
          <w:sz w:val="32"/>
          <w:highlight w:val="none"/>
          <w:lang w:eastAsia="zh-CN"/>
        </w:rPr>
        <w:t>突出贡献</w:t>
      </w:r>
      <w:r>
        <w:rPr>
          <w:rFonts w:hint="eastAsia" w:ascii="仿宋_GB2312" w:hAnsi="仿宋_GB2312" w:eastAsia="仿宋_GB2312" w:cs="仿宋_GB2312"/>
          <w:sz w:val="32"/>
          <w:highlight w:val="none"/>
        </w:rPr>
        <w:t>奖励，并在奖励名额上予以倾斜</w:t>
      </w:r>
      <w:r>
        <w:rPr>
          <w:rFonts w:hint="eastAsia" w:ascii="仿宋_GB2312" w:hAnsi="仿宋_GB2312" w:eastAsia="仿宋_GB2312" w:cs="仿宋_GB2312"/>
          <w:sz w:val="32"/>
          <w:highlight w:val="none"/>
          <w:lang w:eastAsia="zh-CN"/>
        </w:rPr>
        <w:t>。</w:t>
      </w:r>
      <w:r>
        <w:rPr>
          <w:rFonts w:hint="eastAsia" w:ascii="仿宋_GB2312" w:hAnsi="仿宋_GB2312" w:eastAsia="仿宋_GB2312" w:cs="仿宋_GB2312"/>
          <w:sz w:val="32"/>
          <w:szCs w:val="32"/>
          <w:highlight w:val="none"/>
          <w:lang w:val="en-US" w:eastAsia="zh-CN"/>
        </w:rPr>
        <w:t>每年组织至少一场</w:t>
      </w:r>
      <w:r>
        <w:rPr>
          <w:rFonts w:hint="eastAsia" w:ascii="仿宋_GB2312" w:hAnsi="仿宋_GB2312" w:eastAsia="仿宋_GB2312" w:cs="仿宋_GB2312"/>
          <w:b w:val="0"/>
          <w:bCs w:val="0"/>
          <w:sz w:val="32"/>
          <w:szCs w:val="32"/>
          <w:highlight w:val="none"/>
          <w:lang w:val="en-US" w:eastAsia="zh-CN"/>
        </w:rPr>
        <w:t>专精特新“小巨人”</w:t>
      </w:r>
      <w:r>
        <w:rPr>
          <w:rFonts w:hint="eastAsia" w:ascii="仿宋_GB2312" w:hAnsi="仿宋_GB2312" w:eastAsia="仿宋_GB2312" w:cs="仿宋_GB2312"/>
          <w:sz w:val="32"/>
          <w:szCs w:val="32"/>
          <w:highlight w:val="none"/>
          <w:lang w:val="en-US" w:eastAsia="zh-CN"/>
        </w:rPr>
        <w:t>企业对全国重点高校应届毕业生的专场组团招聘。</w:t>
      </w:r>
      <w:r>
        <w:rPr>
          <w:rFonts w:hint="eastAsia" w:ascii="仿宋_GB2312" w:hAnsi="仿宋_GB2312" w:eastAsia="仿宋_GB2312" w:cs="仿宋_GB2312"/>
          <w:b w:val="0"/>
          <w:bCs w:val="0"/>
          <w:sz w:val="32"/>
          <w:szCs w:val="32"/>
          <w:highlight w:val="none"/>
          <w:lang w:val="en-US" w:eastAsia="zh-CN"/>
        </w:rPr>
        <w:t>（责任单位：</w:t>
      </w:r>
    </w:p>
    <w:p>
      <w:pPr>
        <w:pStyle w:val="6"/>
        <w:keepNext w:val="0"/>
        <w:keepLines w:val="0"/>
        <w:pageBreakBefore w:val="0"/>
        <w:widowControl w:val="0"/>
        <w:kinsoku/>
        <w:wordWrap/>
        <w:overflowPunct/>
        <w:topLinePunct w:val="0"/>
        <w:autoSpaceDE/>
        <w:autoSpaceDN/>
        <w:bidi w:val="0"/>
        <w:adjustRightInd/>
        <w:spacing w:beforeAutospacing="0" w:afterAutospacing="0" w:line="560" w:lineRule="exact"/>
        <w:ind w:left="0" w:leftChars="0"/>
        <w:jc w:val="both"/>
        <w:textAlignment w:val="auto"/>
        <w:rPr>
          <w:rFonts w:hint="eastAsia" w:ascii="仿宋_GB2312" w:hAnsi="仿宋_GB2312" w:eastAsia="仿宋_GB2312" w:cs="仿宋_GB2312"/>
          <w:b/>
          <w:bCs/>
          <w:sz w:val="32"/>
          <w:highlight w:val="none"/>
          <w:lang w:val="en-US" w:eastAsia="zh-CN"/>
        </w:rPr>
      </w:pPr>
      <w:r>
        <w:rPr>
          <w:rFonts w:hint="eastAsia" w:ascii="仿宋_GB2312" w:hAnsi="仿宋_GB2312" w:eastAsia="仿宋_GB2312" w:cs="仿宋_GB2312"/>
          <w:b w:val="0"/>
          <w:bCs w:val="0"/>
          <w:sz w:val="32"/>
          <w:szCs w:val="32"/>
          <w:highlight w:val="none"/>
          <w:lang w:val="en-US" w:eastAsia="zh-CN"/>
        </w:rPr>
        <w:t>区人力资源局）</w:t>
      </w:r>
    </w:p>
    <w:p>
      <w:pPr>
        <w:pStyle w:val="6"/>
        <w:keepNext w:val="0"/>
        <w:keepLines w:val="0"/>
        <w:pageBreakBefore w:val="0"/>
        <w:widowControl w:val="0"/>
        <w:kinsoku/>
        <w:wordWrap/>
        <w:overflowPunct/>
        <w:topLinePunct w:val="0"/>
        <w:autoSpaceDE/>
        <w:autoSpaceDN/>
        <w:bidi w:val="0"/>
        <w:adjustRightInd/>
        <w:spacing w:beforeAutospacing="0" w:afterAutospacing="0" w:line="560" w:lineRule="exact"/>
        <w:ind w:left="0" w:leftChars="0" w:firstLine="643" w:firstLineChars="200"/>
        <w:jc w:val="both"/>
        <w:textAlignment w:val="auto"/>
        <w:rPr>
          <w:rFonts w:hint="eastAsia" w:ascii="仿宋_GB2312" w:hAnsi="仿宋_GB2312" w:eastAsia="仿宋_GB2312" w:cs="仿宋_GB2312"/>
          <w:b w:val="0"/>
          <w:bCs w:val="0"/>
          <w:sz w:val="32"/>
          <w:highlight w:val="none"/>
          <w:lang w:val="en-US" w:eastAsia="zh-CN"/>
        </w:rPr>
      </w:pPr>
      <w:r>
        <w:rPr>
          <w:rFonts w:hint="eastAsia" w:ascii="仿宋_GB2312" w:hAnsi="仿宋_GB2312" w:eastAsia="仿宋_GB2312" w:cs="仿宋_GB2312"/>
          <w:b/>
          <w:bCs/>
          <w:sz w:val="32"/>
          <w:highlight w:val="none"/>
          <w:lang w:val="en-US" w:eastAsia="zh-CN"/>
        </w:rPr>
        <w:t>17.支持企业人才培养。</w:t>
      </w:r>
      <w:r>
        <w:rPr>
          <w:rFonts w:hint="eastAsia" w:ascii="仿宋_GB2312" w:hAnsi="仿宋_GB2312" w:eastAsia="仿宋_GB2312" w:cs="仿宋_GB2312"/>
          <w:b w:val="0"/>
          <w:bCs w:val="0"/>
          <w:sz w:val="32"/>
          <w:highlight w:val="none"/>
          <w:lang w:val="en-US" w:eastAsia="zh-CN"/>
        </w:rPr>
        <w:t>支持</w:t>
      </w:r>
      <w:r>
        <w:rPr>
          <w:rFonts w:hint="eastAsia" w:ascii="仿宋_GB2312" w:hAnsi="仿宋_GB2312" w:eastAsia="仿宋_GB2312" w:cs="仿宋_GB2312"/>
          <w:sz w:val="32"/>
          <w:szCs w:val="32"/>
        </w:rPr>
        <w:t>专精特新企业</w:t>
      </w:r>
      <w:r>
        <w:rPr>
          <w:rFonts w:hint="eastAsia" w:ascii="仿宋_GB2312" w:hAnsi="仿宋_GB2312" w:eastAsia="仿宋_GB2312" w:cs="仿宋_GB2312"/>
          <w:b w:val="0"/>
          <w:bCs w:val="0"/>
          <w:sz w:val="32"/>
          <w:highlight w:val="none"/>
          <w:lang w:val="en-US" w:eastAsia="zh-CN"/>
        </w:rPr>
        <w:t>优先挂牌为南山区高层次创新型人才实训基地，对其录用在校实习生并在学生毕业后留用率达20%以上的，按学生学历层次给予企业资助。（责</w:t>
      </w:r>
    </w:p>
    <w:p>
      <w:pPr>
        <w:pStyle w:val="6"/>
        <w:keepNext w:val="0"/>
        <w:keepLines w:val="0"/>
        <w:pageBreakBefore w:val="0"/>
        <w:widowControl w:val="0"/>
        <w:kinsoku/>
        <w:wordWrap/>
        <w:overflowPunct/>
        <w:topLinePunct w:val="0"/>
        <w:autoSpaceDE/>
        <w:autoSpaceDN/>
        <w:bidi w:val="0"/>
        <w:adjustRightInd/>
        <w:spacing w:beforeAutospacing="0" w:afterAutospacing="0" w:line="560" w:lineRule="exact"/>
        <w:ind w:left="0" w:leftChars="0"/>
        <w:jc w:val="both"/>
        <w:textAlignment w:val="auto"/>
        <w:rPr>
          <w:rFonts w:hint="eastAsia" w:ascii="仿宋_GB2312" w:hAnsi="仿宋_GB2312" w:eastAsia="仿宋_GB2312" w:cs="仿宋_GB2312"/>
          <w:b/>
          <w:bCs/>
          <w:sz w:val="32"/>
          <w:highlight w:val="none"/>
          <w:lang w:val="en-US" w:eastAsia="zh-CN"/>
        </w:rPr>
      </w:pPr>
      <w:r>
        <w:rPr>
          <w:rFonts w:hint="eastAsia" w:ascii="仿宋_GB2312" w:hAnsi="仿宋_GB2312" w:eastAsia="仿宋_GB2312" w:cs="仿宋_GB2312"/>
          <w:b w:val="0"/>
          <w:bCs w:val="0"/>
          <w:sz w:val="32"/>
          <w:highlight w:val="none"/>
          <w:lang w:val="en-US" w:eastAsia="zh-CN"/>
        </w:rPr>
        <w:t>任单位：区人力资源局）</w:t>
      </w:r>
    </w:p>
    <w:p>
      <w:pPr>
        <w:pStyle w:val="6"/>
        <w:keepNext w:val="0"/>
        <w:keepLines w:val="0"/>
        <w:pageBreakBefore w:val="0"/>
        <w:widowControl w:val="0"/>
        <w:kinsoku/>
        <w:wordWrap/>
        <w:overflowPunct/>
        <w:topLinePunct w:val="0"/>
        <w:autoSpaceDE/>
        <w:autoSpaceDN/>
        <w:bidi w:val="0"/>
        <w:adjustRightInd/>
        <w:spacing w:beforeAutospacing="0" w:afterAutospacing="0" w:line="560" w:lineRule="exact"/>
        <w:ind w:left="0" w:leftChars="0" w:firstLine="643" w:firstLineChars="200"/>
        <w:jc w:val="both"/>
        <w:textAlignment w:val="auto"/>
        <w:rPr>
          <w:rFonts w:hint="eastAsia" w:ascii="仿宋_GB2312" w:hAnsi="仿宋_GB2312" w:eastAsia="仿宋_GB2312" w:cs="仿宋_GB2312"/>
          <w:b w:val="0"/>
          <w:bCs w:val="0"/>
          <w:sz w:val="32"/>
          <w:highlight w:val="none"/>
          <w:lang w:val="en-US" w:eastAsia="zh-CN"/>
        </w:rPr>
      </w:pPr>
      <w:r>
        <w:rPr>
          <w:rFonts w:hint="eastAsia" w:ascii="仿宋_GB2312" w:hAnsi="仿宋_GB2312" w:eastAsia="仿宋_GB2312" w:cs="仿宋_GB2312"/>
          <w:b/>
          <w:bCs/>
          <w:sz w:val="32"/>
          <w:highlight w:val="none"/>
          <w:lang w:val="en-US" w:eastAsia="zh-CN"/>
        </w:rPr>
        <w:t>18</w:t>
      </w:r>
      <w:r>
        <w:rPr>
          <w:rFonts w:hint="eastAsia" w:ascii="仿宋_GB2312" w:hAnsi="仿宋_GB2312" w:eastAsia="仿宋_GB2312" w:cs="仿宋_GB2312"/>
          <w:b/>
          <w:bCs/>
          <w:sz w:val="32"/>
          <w:highlight w:val="none"/>
        </w:rPr>
        <w:t>.</w:t>
      </w:r>
      <w:bookmarkStart w:id="1434" w:name="_Toc31836_WPSOffice_Level2"/>
      <w:r>
        <w:rPr>
          <w:rFonts w:hint="eastAsia" w:ascii="仿宋_GB2312" w:hAnsi="仿宋_GB2312" w:eastAsia="仿宋_GB2312" w:cs="仿宋_GB2312"/>
          <w:b/>
          <w:bCs/>
          <w:sz w:val="32"/>
          <w:highlight w:val="none"/>
          <w:lang w:val="en-US" w:eastAsia="zh-CN"/>
        </w:rPr>
        <w:t>加强高层次人才激励。</w:t>
      </w:r>
      <w:r>
        <w:rPr>
          <w:rFonts w:hint="eastAsia" w:ascii="仿宋_GB2312" w:hAnsi="仿宋_GB2312" w:eastAsia="仿宋_GB2312" w:cs="仿宋_GB2312"/>
          <w:b w:val="0"/>
          <w:bCs w:val="0"/>
          <w:sz w:val="32"/>
          <w:highlight w:val="none"/>
          <w:lang w:val="en-US" w:eastAsia="zh-CN"/>
        </w:rPr>
        <w:t>在“领航计划”南山领航卡分配名额中对</w:t>
      </w:r>
      <w:r>
        <w:rPr>
          <w:rFonts w:hint="eastAsia" w:ascii="仿宋_GB2312" w:hAnsi="仿宋_GB2312" w:eastAsia="仿宋_GB2312" w:cs="仿宋_GB2312"/>
          <w:sz w:val="32"/>
          <w:szCs w:val="32"/>
        </w:rPr>
        <w:t>专精特新“</w:t>
      </w:r>
      <w:r>
        <w:rPr>
          <w:rFonts w:hint="eastAsia" w:ascii="仿宋_GB2312" w:hAnsi="仿宋_GB2312" w:eastAsia="仿宋_GB2312" w:cs="仿宋_GB2312"/>
          <w:sz w:val="32"/>
          <w:szCs w:val="32"/>
          <w:lang w:val="en-US" w:eastAsia="zh-CN"/>
        </w:rPr>
        <w:t>小巨人</w:t>
      </w:r>
      <w:r>
        <w:rPr>
          <w:rFonts w:hint="eastAsia" w:ascii="仿宋_GB2312" w:hAnsi="仿宋_GB2312" w:eastAsia="仿宋_GB2312" w:cs="仿宋_GB2312"/>
          <w:sz w:val="32"/>
          <w:szCs w:val="32"/>
        </w:rPr>
        <w:t>”企业</w:t>
      </w:r>
      <w:r>
        <w:rPr>
          <w:rFonts w:hint="eastAsia" w:ascii="仿宋_GB2312" w:hAnsi="仿宋_GB2312" w:eastAsia="仿宋_GB2312" w:cs="仿宋_GB2312"/>
          <w:b w:val="0"/>
          <w:bCs w:val="0"/>
          <w:sz w:val="32"/>
          <w:highlight w:val="none"/>
          <w:lang w:val="en-US" w:eastAsia="zh-CN"/>
        </w:rPr>
        <w:t>予以倾斜，确保每家企业</w:t>
      </w:r>
      <w:r>
        <w:rPr>
          <w:rFonts w:hint="eastAsia" w:ascii="仿宋_GB2312" w:hAnsi="仿宋_GB2312" w:eastAsia="仿宋_GB2312" w:cs="仿宋_GB2312"/>
          <w:b w:val="0"/>
          <w:bCs w:val="0"/>
          <w:sz w:val="32"/>
          <w:szCs w:val="32"/>
          <w:highlight w:val="none"/>
          <w:lang w:val="en-US" w:eastAsia="zh-CN"/>
        </w:rPr>
        <w:t>每年至少一个B卡名额，</w:t>
      </w:r>
      <w:r>
        <w:rPr>
          <w:rFonts w:hint="eastAsia" w:ascii="仿宋_GB2312" w:hAnsi="仿宋_GB2312" w:eastAsia="仿宋_GB2312" w:cs="仿宋_GB2312"/>
          <w:b w:val="0"/>
          <w:bCs w:val="0"/>
          <w:sz w:val="32"/>
          <w:highlight w:val="none"/>
          <w:lang w:val="en-US" w:eastAsia="zh-CN"/>
        </w:rPr>
        <w:t>支持符合条件的企业自主评价人才，对企业自主评价的高层次人才给予租房补贴、子女入学、医疗保健等优</w:t>
      </w:r>
    </w:p>
    <w:p>
      <w:pPr>
        <w:pStyle w:val="6"/>
        <w:keepNext w:val="0"/>
        <w:keepLines w:val="0"/>
        <w:pageBreakBefore w:val="0"/>
        <w:widowControl w:val="0"/>
        <w:kinsoku/>
        <w:wordWrap/>
        <w:overflowPunct/>
        <w:topLinePunct w:val="0"/>
        <w:autoSpaceDE/>
        <w:autoSpaceDN/>
        <w:bidi w:val="0"/>
        <w:adjustRightInd/>
        <w:spacing w:beforeAutospacing="0" w:afterAutospacing="0" w:line="560" w:lineRule="exact"/>
        <w:ind w:left="0" w:leftChars="0"/>
        <w:jc w:val="both"/>
        <w:textAlignment w:val="auto"/>
        <w:rPr>
          <w:rFonts w:hint="eastAsia" w:ascii="仿宋_GB2312" w:hAnsi="仿宋_GB2312" w:eastAsia="仿宋_GB2312" w:cs="仿宋_GB2312"/>
          <w:sz w:val="32"/>
          <w:highlight w:val="yellow"/>
          <w:lang w:val="en-US" w:eastAsia="zh-CN"/>
        </w:rPr>
      </w:pPr>
      <w:r>
        <w:rPr>
          <w:rFonts w:hint="eastAsia" w:ascii="仿宋_GB2312" w:hAnsi="仿宋_GB2312" w:eastAsia="仿宋_GB2312" w:cs="仿宋_GB2312"/>
          <w:b w:val="0"/>
          <w:bCs w:val="0"/>
          <w:sz w:val="32"/>
          <w:highlight w:val="none"/>
          <w:lang w:val="en-US" w:eastAsia="zh-CN"/>
        </w:rPr>
        <w:t>惠扶持政策。</w:t>
      </w:r>
      <w:r>
        <w:rPr>
          <w:rFonts w:hint="eastAsia" w:ascii="仿宋_GB2312" w:hAnsi="仿宋_GB2312" w:eastAsia="仿宋_GB2312" w:cs="仿宋_GB2312"/>
          <w:b w:val="0"/>
          <w:bCs w:val="0"/>
          <w:sz w:val="32"/>
          <w:lang w:val="en-US" w:eastAsia="zh-CN"/>
        </w:rPr>
        <w:t>（责任单位：区人才工作局）</w:t>
      </w:r>
    </w:p>
    <w:p>
      <w:pPr>
        <w:pStyle w:val="6"/>
        <w:keepNext w:val="0"/>
        <w:keepLines w:val="0"/>
        <w:pageBreakBefore w:val="0"/>
        <w:widowControl w:val="0"/>
        <w:kinsoku/>
        <w:wordWrap/>
        <w:overflowPunct/>
        <w:topLinePunct w:val="0"/>
        <w:autoSpaceDE/>
        <w:autoSpaceDN/>
        <w:bidi w:val="0"/>
        <w:adjustRightInd/>
        <w:spacing w:beforeAutospacing="0" w:afterAutospacing="0" w:line="560" w:lineRule="exact"/>
        <w:ind w:left="0" w:leftChars="0" w:firstLine="643" w:firstLineChars="200"/>
        <w:jc w:val="both"/>
        <w:textAlignment w:val="auto"/>
        <w:rPr>
          <w:rFonts w:hint="eastAsia" w:ascii="仿宋_GB2312" w:hAnsi="Times New Roman" w:eastAsia="仿宋_GB2312" w:cs="宋体"/>
          <w:b w:val="0"/>
          <w:bCs w:val="0"/>
          <w:color w:val="auto"/>
          <w:kern w:val="2"/>
          <w:sz w:val="32"/>
          <w:szCs w:val="32"/>
          <w:highlight w:val="none"/>
          <w:lang w:val="en-US" w:eastAsia="zh-CN" w:bidi="ar-SA"/>
        </w:rPr>
      </w:pPr>
      <w:r>
        <w:rPr>
          <w:rFonts w:hint="eastAsia" w:ascii="仿宋_GB2312" w:hAnsi="仿宋_GB2312" w:eastAsia="仿宋_GB2312" w:cs="仿宋_GB2312"/>
          <w:b/>
          <w:bCs/>
          <w:sz w:val="32"/>
          <w:highlight w:val="none"/>
          <w:lang w:val="en-US" w:eastAsia="zh-CN"/>
        </w:rPr>
        <w:t>19.加大人才安居支持力度。</w:t>
      </w:r>
      <w:r>
        <w:rPr>
          <w:rFonts w:hint="eastAsia" w:ascii="仿宋_GB2312" w:hAnsi="Times New Roman" w:eastAsia="仿宋_GB2312" w:cs="宋体"/>
          <w:b w:val="0"/>
          <w:bCs w:val="0"/>
          <w:color w:val="auto"/>
          <w:kern w:val="2"/>
          <w:sz w:val="32"/>
          <w:szCs w:val="32"/>
          <w:highlight w:val="none"/>
          <w:lang w:val="en-US" w:eastAsia="zh-CN" w:bidi="ar-SA"/>
        </w:rPr>
        <w:t>将专精特新“小巨人”企业纳入南山区人才安居政策支持范围，降低企业申报纳税要求门槛，</w:t>
      </w:r>
    </w:p>
    <w:p>
      <w:pPr>
        <w:pStyle w:val="6"/>
        <w:keepNext w:val="0"/>
        <w:keepLines w:val="0"/>
        <w:pageBreakBefore w:val="0"/>
        <w:widowControl w:val="0"/>
        <w:kinsoku/>
        <w:wordWrap/>
        <w:overflowPunct/>
        <w:topLinePunct w:val="0"/>
        <w:autoSpaceDE/>
        <w:autoSpaceDN/>
        <w:bidi w:val="0"/>
        <w:adjustRightInd/>
        <w:spacing w:beforeAutospacing="0" w:afterAutospacing="0" w:line="560" w:lineRule="exact"/>
        <w:ind w:left="0" w:leftChars="0"/>
        <w:jc w:val="both"/>
        <w:textAlignment w:val="auto"/>
        <w:rPr>
          <w:rFonts w:hint="eastAsia" w:ascii="仿宋_GB2312" w:hAnsi="仿宋_GB2312" w:eastAsia="仿宋_GB2312" w:cs="仿宋_GB2312"/>
          <w:sz w:val="32"/>
          <w:highlight w:val="none"/>
          <w:lang w:val="en-US" w:eastAsia="zh-CN"/>
        </w:rPr>
      </w:pPr>
      <w:r>
        <w:rPr>
          <w:rFonts w:hint="eastAsia" w:ascii="仿宋_GB2312" w:hAnsi="Times New Roman" w:eastAsia="仿宋_GB2312" w:cs="宋体"/>
          <w:b w:val="0"/>
          <w:bCs w:val="0"/>
          <w:color w:val="auto"/>
          <w:kern w:val="2"/>
          <w:sz w:val="32"/>
          <w:szCs w:val="32"/>
          <w:highlight w:val="none"/>
          <w:lang w:val="en-US" w:eastAsia="zh-CN" w:bidi="ar-SA"/>
        </w:rPr>
        <w:t>在评分标准中予以加分支持。</w:t>
      </w:r>
      <w:r>
        <w:rPr>
          <w:rFonts w:hint="eastAsia" w:ascii="仿宋_GB2312" w:hAnsi="仿宋_GB2312" w:eastAsia="仿宋_GB2312" w:cs="仿宋_GB2312"/>
          <w:sz w:val="32"/>
          <w:highlight w:val="none"/>
          <w:lang w:val="en-US" w:eastAsia="zh-CN"/>
        </w:rPr>
        <w:t>（责任单位：区住房建设局）</w:t>
      </w:r>
    </w:p>
    <w:bookmarkEnd w:id="1434"/>
    <w:p>
      <w:pPr>
        <w:pStyle w:val="6"/>
        <w:keepNext w:val="0"/>
        <w:keepLines w:val="0"/>
        <w:pageBreakBefore w:val="0"/>
        <w:widowControl w:val="0"/>
        <w:kinsoku/>
        <w:wordWrap/>
        <w:overflowPunct/>
        <w:topLinePunct w:val="0"/>
        <w:autoSpaceDE/>
        <w:autoSpaceDN/>
        <w:bidi w:val="0"/>
        <w:adjustRightInd/>
        <w:spacing w:beforeAutospacing="0" w:afterAutospacing="0" w:line="560" w:lineRule="exact"/>
        <w:ind w:left="0" w:leftChars="0" w:firstLine="640" w:firstLineChars="200"/>
        <w:jc w:val="both"/>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sz w:val="32"/>
          <w:lang w:eastAsia="zh-CN"/>
        </w:rPr>
        <w:t>七、</w:t>
      </w:r>
      <w:r>
        <w:rPr>
          <w:rFonts w:hint="eastAsia" w:ascii="黑体" w:hAnsi="黑体" w:eastAsia="黑体" w:cs="黑体"/>
          <w:sz w:val="32"/>
          <w:lang w:val="en-US" w:eastAsia="zh-CN"/>
        </w:rPr>
        <w:t>强化</w:t>
      </w:r>
      <w:r>
        <w:rPr>
          <w:rFonts w:hint="eastAsia" w:ascii="黑体" w:hAnsi="黑体" w:eastAsia="黑体" w:cs="黑体"/>
          <w:sz w:val="32"/>
        </w:rPr>
        <w:t>产业空间保障</w:t>
      </w:r>
    </w:p>
    <w:p>
      <w:pPr>
        <w:pStyle w:val="6"/>
        <w:keepNext w:val="0"/>
        <w:keepLines w:val="0"/>
        <w:pageBreakBefore w:val="0"/>
        <w:widowControl w:val="0"/>
        <w:kinsoku/>
        <w:wordWrap/>
        <w:overflowPunct/>
        <w:topLinePunct w:val="0"/>
        <w:autoSpaceDE/>
        <w:autoSpaceDN/>
        <w:bidi w:val="0"/>
        <w:adjustRightInd/>
        <w:spacing w:beforeAutospacing="0" w:afterAutospacing="0" w:line="560" w:lineRule="exact"/>
        <w:ind w:left="0" w:leftChars="0" w:firstLine="643" w:firstLineChars="200"/>
        <w:jc w:val="both"/>
        <w:textAlignment w:val="auto"/>
        <w:rPr>
          <w:rFonts w:hint="default" w:eastAsia="仿宋_GB2312"/>
          <w:sz w:val="32"/>
          <w:lang w:val="en-US" w:eastAsia="zh-CN"/>
        </w:rPr>
      </w:pPr>
      <w:r>
        <w:rPr>
          <w:rFonts w:hint="eastAsia" w:ascii="仿宋_GB2312" w:hAnsi="仿宋_GB2312" w:eastAsia="仿宋_GB2312" w:cs="仿宋_GB2312"/>
          <w:b/>
          <w:bCs/>
          <w:sz w:val="32"/>
          <w:highlight w:val="none"/>
          <w:lang w:val="en-US" w:eastAsia="zh-CN"/>
        </w:rPr>
        <w:t>20.降低产业用房租金成本</w:t>
      </w:r>
      <w:r>
        <w:rPr>
          <w:rFonts w:hint="eastAsia" w:ascii="仿宋_GB2312" w:hAnsi="仿宋_GB2312" w:eastAsia="仿宋_GB2312" w:cs="仿宋_GB2312"/>
          <w:b/>
          <w:bCs/>
          <w:sz w:val="32"/>
          <w:lang w:val="en-US" w:eastAsia="zh-CN"/>
        </w:rPr>
        <w:t>。</w:t>
      </w:r>
      <w:r>
        <w:rPr>
          <w:rFonts w:hint="eastAsia" w:ascii="仿宋_GB2312" w:hAnsi="仿宋_GB2312" w:eastAsia="仿宋_GB2312" w:cs="仿宋_GB2312"/>
          <w:b w:val="0"/>
          <w:bCs w:val="0"/>
          <w:sz w:val="32"/>
          <w:lang w:val="en-US" w:eastAsia="zh-CN"/>
        </w:rPr>
        <w:t>对专精特新“小巨人”企业在南山区租赁自用办公用房（不含南山区政策性产业用房）的，分5年给予房租补贴，其中前3年每年按实际支付租金的30%给予补贴，每年最高300万元；后2年每年按实际支付租金的15%给予补贴，每年最高150万元</w:t>
      </w:r>
      <w:r>
        <w:rPr>
          <w:rFonts w:hint="eastAsia" w:ascii="仿宋_GB2312" w:hAnsi="仿宋_GB2312" w:eastAsia="仿宋_GB2312" w:cs="仿宋_GB2312"/>
          <w:b w:val="0"/>
          <w:bCs w:val="0"/>
          <w:sz w:val="32"/>
          <w:highlight w:val="none"/>
          <w:lang w:val="en-US" w:eastAsia="zh-CN"/>
        </w:rPr>
        <w:t>。</w:t>
      </w:r>
      <w:r>
        <w:rPr>
          <w:rFonts w:hint="eastAsia" w:ascii="Times New Roman" w:hAnsi="Times New Roman" w:eastAsia="仿宋_GB2312" w:cs="Times New Roman"/>
          <w:sz w:val="32"/>
          <w:szCs w:val="32"/>
          <w:highlight w:val="none"/>
          <w:lang w:eastAsia="zh-CN"/>
        </w:rPr>
        <w:t>对</w:t>
      </w:r>
      <w:r>
        <w:rPr>
          <w:rFonts w:hint="eastAsia" w:ascii="仿宋_GB2312" w:hAnsi="Times New Roman" w:eastAsia="仿宋_GB2312" w:cs="宋体"/>
          <w:b w:val="0"/>
          <w:bCs w:val="0"/>
          <w:color w:val="auto"/>
          <w:kern w:val="2"/>
          <w:sz w:val="32"/>
          <w:szCs w:val="32"/>
          <w:highlight w:val="none"/>
          <w:lang w:val="en-US" w:eastAsia="zh-CN" w:bidi="ar-SA"/>
        </w:rPr>
        <w:t>专精特新企业</w:t>
      </w:r>
      <w:r>
        <w:rPr>
          <w:rFonts w:hint="eastAsia" w:ascii="Times New Roman" w:hAnsi="Times New Roman" w:eastAsia="仿宋_GB2312" w:cs="Times New Roman"/>
          <w:sz w:val="32"/>
          <w:szCs w:val="32"/>
          <w:highlight w:val="none"/>
          <w:lang w:val="en-US" w:eastAsia="zh-CN"/>
        </w:rPr>
        <w:t>符合条件的工业企业租金补贴项目，</w:t>
      </w:r>
      <w:r>
        <w:rPr>
          <w:rFonts w:hint="eastAsia" w:eastAsia="仿宋_GB2312"/>
          <w:sz w:val="32"/>
          <w:highlight w:val="none"/>
          <w:lang w:val="en-US" w:eastAsia="zh-CN"/>
        </w:rPr>
        <w:t>按照《南山区促进高端制造业发展专项扶持措施》“</w:t>
      </w:r>
      <w:r>
        <w:rPr>
          <w:rFonts w:hint="eastAsia" w:eastAsia="仿宋_GB2312"/>
          <w:sz w:val="32"/>
          <w:highlight w:val="none"/>
        </w:rPr>
        <w:t>支持工业企业保留核心生产制造</w:t>
      </w:r>
      <w:r>
        <w:rPr>
          <w:rFonts w:hint="eastAsia" w:eastAsia="仿宋_GB2312"/>
          <w:sz w:val="32"/>
          <w:highlight w:val="none"/>
          <w:lang w:val="en-US" w:eastAsia="zh-CN"/>
        </w:rPr>
        <w:t>”政策，在原有</w:t>
      </w:r>
      <w:r>
        <w:rPr>
          <w:rFonts w:hint="default" w:eastAsia="仿宋_GB2312"/>
          <w:sz w:val="32"/>
          <w:highlight w:val="none"/>
          <w:lang w:val="en-US" w:eastAsia="zh-CN"/>
        </w:rPr>
        <w:t>资助档次基础上提高一个档次予以资助。</w:t>
      </w:r>
      <w:r>
        <w:rPr>
          <w:rFonts w:hint="eastAsia" w:ascii="仿宋_GB2312" w:eastAsia="仿宋_GB2312"/>
          <w:sz w:val="32"/>
          <w:highlight w:val="none"/>
          <w:lang w:eastAsia="zh-CN"/>
        </w:rPr>
        <w:t>（</w:t>
      </w:r>
      <w:r>
        <w:rPr>
          <w:rFonts w:hint="eastAsia" w:ascii="仿宋_GB2312" w:eastAsia="仿宋_GB2312"/>
          <w:sz w:val="32"/>
          <w:highlight w:val="none"/>
          <w:lang w:val="en-US" w:eastAsia="zh-CN"/>
        </w:rPr>
        <w:t>责任单位：区工业和信息化局）</w:t>
      </w:r>
    </w:p>
    <w:p>
      <w:pPr>
        <w:pStyle w:val="6"/>
        <w:keepNext w:val="0"/>
        <w:keepLines w:val="0"/>
        <w:pageBreakBefore w:val="0"/>
        <w:widowControl w:val="0"/>
        <w:kinsoku/>
        <w:wordWrap/>
        <w:overflowPunct/>
        <w:topLinePunct w:val="0"/>
        <w:autoSpaceDE/>
        <w:autoSpaceDN/>
        <w:bidi w:val="0"/>
        <w:adjustRightInd/>
        <w:spacing w:beforeAutospacing="0" w:afterAutospacing="0" w:line="560" w:lineRule="exact"/>
        <w:ind w:left="0" w:leftChars="0" w:right="0" w:rightChars="0" w:firstLine="643" w:firstLineChars="200"/>
        <w:jc w:val="both"/>
        <w:textAlignment w:val="auto"/>
        <w:rPr>
          <w:rFonts w:hint="default" w:ascii="Times New Roman" w:hAnsi="Times New Roman" w:eastAsia="仿宋_GB2312" w:cs="Times New Roman"/>
          <w:sz w:val="32"/>
          <w:szCs w:val="32"/>
          <w:lang w:eastAsia="zh-CN"/>
        </w:rPr>
      </w:pPr>
      <w:r>
        <w:rPr>
          <w:rFonts w:hint="eastAsia" w:ascii="仿宋_GB2312" w:hAnsi="仿宋_GB2312" w:eastAsia="仿宋_GB2312" w:cs="仿宋_GB2312"/>
          <w:b/>
          <w:bCs/>
          <w:sz w:val="32"/>
          <w:lang w:val="en-US" w:eastAsia="zh-CN"/>
        </w:rPr>
        <w:t>21.加大产业用地、用房供给。</w:t>
      </w:r>
      <w:r>
        <w:rPr>
          <w:rFonts w:hint="eastAsia" w:ascii="仿宋_GB2312" w:hAnsi="仿宋_GB2312" w:eastAsia="仿宋_GB2312" w:cs="仿宋_GB2312"/>
          <w:b w:val="0"/>
          <w:bCs w:val="0"/>
          <w:sz w:val="32"/>
          <w:lang w:val="en-US" w:eastAsia="zh-CN"/>
        </w:rPr>
        <w:t>加强土地空间资源保障，</w:t>
      </w:r>
      <w:r>
        <w:rPr>
          <w:rFonts w:hint="eastAsia" w:ascii="仿宋_GB2312" w:hAnsi="仿宋_GB2312" w:eastAsia="仿宋_GB2312" w:cs="仿宋_GB2312"/>
          <w:sz w:val="32"/>
          <w:szCs w:val="32"/>
        </w:rPr>
        <w:t>十四五规划期间，新供应产业用地10公顷，城市更新和土地整备实施规模260公顷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highlight w:val="none"/>
          <w:lang w:val="en-US" w:eastAsia="zh-CN"/>
        </w:rPr>
        <w:t>专精特新“小巨人”企业</w:t>
      </w:r>
      <w:r>
        <w:rPr>
          <w:rFonts w:hint="eastAsia" w:ascii="仿宋_GB2312" w:hAnsi="仿宋_GB2312" w:eastAsia="仿宋_GB2312" w:cs="仿宋_GB2312"/>
          <w:b w:val="0"/>
          <w:bCs w:val="0"/>
          <w:sz w:val="32"/>
          <w:lang w:val="en-US" w:eastAsia="zh-CN"/>
        </w:rPr>
        <w:t>申请</w:t>
      </w:r>
      <w:r>
        <w:rPr>
          <w:rFonts w:hint="eastAsia" w:ascii="仿宋_GB2312" w:hAnsi="仿宋_GB2312" w:eastAsia="仿宋_GB2312" w:cs="仿宋_GB2312"/>
          <w:b w:val="0"/>
          <w:bCs w:val="0"/>
          <w:sz w:val="32"/>
          <w:highlight w:val="none"/>
          <w:lang w:val="en-US" w:eastAsia="zh-CN"/>
        </w:rPr>
        <w:t>参与总部办公大楼</w:t>
      </w:r>
      <w:r>
        <w:rPr>
          <w:rFonts w:hint="eastAsia" w:ascii="仿宋_GB2312" w:hAnsi="Times New Roman" w:eastAsia="仿宋_GB2312" w:cs="宋体"/>
          <w:b w:val="0"/>
          <w:bCs w:val="0"/>
          <w:color w:val="auto"/>
          <w:kern w:val="2"/>
          <w:sz w:val="32"/>
          <w:szCs w:val="32"/>
          <w:lang w:val="en-US" w:eastAsia="zh-CN" w:bidi="ar-SA"/>
        </w:rPr>
        <w:t>联建的，优先纳入遴选对象。</w:t>
      </w:r>
      <w:r>
        <w:rPr>
          <w:rFonts w:hint="eastAsia" w:ascii="仿宋_GB2312" w:hAnsi="仿宋_GB2312" w:eastAsia="仿宋_GB2312" w:cs="仿宋_GB2312"/>
          <w:b w:val="0"/>
          <w:bCs w:val="0"/>
          <w:sz w:val="32"/>
          <w:lang w:val="en-US" w:eastAsia="zh-CN"/>
        </w:rPr>
        <w:t>将</w:t>
      </w:r>
      <w:r>
        <w:rPr>
          <w:rFonts w:hint="eastAsia" w:ascii="仿宋_GB2312" w:hAnsi="Times New Roman" w:eastAsia="仿宋_GB2312" w:cs="宋体"/>
          <w:b w:val="0"/>
          <w:bCs w:val="0"/>
          <w:color w:val="auto"/>
          <w:kern w:val="2"/>
          <w:sz w:val="32"/>
          <w:szCs w:val="32"/>
          <w:highlight w:val="none"/>
          <w:lang w:val="en-US" w:eastAsia="zh-CN" w:bidi="ar-SA"/>
        </w:rPr>
        <w:t>专精特新企业</w:t>
      </w:r>
      <w:r>
        <w:rPr>
          <w:rFonts w:hint="eastAsia" w:ascii="仿宋_GB2312" w:hAnsi="Times New Roman" w:eastAsia="仿宋_GB2312" w:cs="宋体"/>
          <w:b w:val="0"/>
          <w:bCs w:val="0"/>
          <w:color w:val="auto"/>
          <w:kern w:val="2"/>
          <w:sz w:val="32"/>
          <w:szCs w:val="32"/>
          <w:lang w:val="en-US" w:eastAsia="zh-CN" w:bidi="ar-SA"/>
        </w:rPr>
        <w:t>纳入南山区创新型产业用房、国资国企产业空间保障范围，其中专精特新“小巨人”企业承租价格不超过市场指导价的50%。</w:t>
      </w:r>
      <w:r>
        <w:rPr>
          <w:rFonts w:hint="eastAsia" w:ascii="仿宋_GB2312" w:eastAsia="仿宋_GB2312"/>
          <w:sz w:val="32"/>
          <w:highlight w:val="none"/>
          <w:lang w:eastAsia="zh-CN"/>
        </w:rPr>
        <w:t>（</w:t>
      </w:r>
      <w:r>
        <w:rPr>
          <w:rFonts w:hint="eastAsia" w:ascii="仿宋_GB2312" w:eastAsia="仿宋_GB2312"/>
          <w:sz w:val="32"/>
          <w:highlight w:val="none"/>
          <w:lang w:val="en-US" w:eastAsia="zh-CN"/>
        </w:rPr>
        <w:t>责任单位：区发展改革局、区工业和信息化局、区国资局、城市更新和土地整备局、区企业发展服务中心、市规划和自然资源局南山管理局）</w:t>
      </w:r>
    </w:p>
    <w:p>
      <w:pPr>
        <w:keepNext w:val="0"/>
        <w:keepLines w:val="0"/>
        <w:pageBreakBefore w:val="0"/>
        <w:widowControl w:val="0"/>
        <w:wordWrap/>
        <w:topLinePunct w:val="0"/>
        <w:bidi w:val="0"/>
        <w:spacing w:beforeAutospacing="0" w:afterAutospacing="0" w:line="560" w:lineRule="exact"/>
        <w:ind w:left="0" w:leftChars="0"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本</w:t>
      </w:r>
      <w:r>
        <w:rPr>
          <w:rFonts w:hint="eastAsia" w:ascii="Times New Roman" w:hAnsi="Times New Roman" w:eastAsia="仿宋_GB2312" w:cs="Times New Roman"/>
          <w:sz w:val="32"/>
          <w:szCs w:val="32"/>
          <w:lang w:val="en-US" w:eastAsia="zh-CN"/>
        </w:rPr>
        <w:t>措施自2022年X月X日起施行</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除已有明确期限规定外，</w:t>
      </w:r>
      <w:r>
        <w:rPr>
          <w:rFonts w:hint="default" w:ascii="Times New Roman" w:hAnsi="Times New Roman" w:eastAsia="仿宋_GB2312" w:cs="Times New Roman"/>
          <w:sz w:val="32"/>
          <w:szCs w:val="32"/>
          <w:highlight w:val="none"/>
          <w:lang w:eastAsia="zh-CN"/>
        </w:rPr>
        <w:t>有效期</w:t>
      </w:r>
      <w:r>
        <w:rPr>
          <w:rFonts w:hint="default" w:ascii="Times New Roman" w:hAnsi="Times New Roman" w:eastAsia="仿宋_GB2312" w:cs="Times New Roman"/>
          <w:sz w:val="32"/>
          <w:szCs w:val="32"/>
          <w:highlight w:val="none"/>
          <w:lang w:val="en-US" w:eastAsia="zh-CN"/>
        </w:rPr>
        <w:t>截</w:t>
      </w:r>
      <w:r>
        <w:rPr>
          <w:rFonts w:hint="eastAsia" w:ascii="Times New Roman" w:hAnsi="Times New Roman" w:eastAsia="仿宋_GB2312" w:cs="Times New Roman"/>
          <w:sz w:val="32"/>
          <w:szCs w:val="32"/>
          <w:highlight w:val="none"/>
          <w:lang w:val="en-US" w:eastAsia="zh-CN"/>
        </w:rPr>
        <w:t>至2025年12月31日。相</w:t>
      </w:r>
      <w:r>
        <w:rPr>
          <w:rFonts w:hint="eastAsia" w:ascii="Times New Roman" w:hAnsi="Times New Roman" w:eastAsia="仿宋_GB2312" w:cs="Times New Roman"/>
          <w:sz w:val="32"/>
          <w:szCs w:val="32"/>
          <w:lang w:val="en-US" w:eastAsia="zh-CN"/>
        </w:rPr>
        <w:t>关条款涉及南山区自主创新产业发展专项资金、人才住房、领航计划等政策条款修订的，由区有关部门完成政策修订后开始实施；相关政策条款修订后与本措施不一致或有效期限不一致的，以南山区自主创新产业发展专项资金、人才住房、领航计划等政策当时现行有效的版本为准；</w:t>
      </w:r>
      <w:r>
        <w:rPr>
          <w:rFonts w:hint="default" w:ascii="Times New Roman" w:hAnsi="Times New Roman" w:eastAsia="仿宋_GB2312" w:cs="Times New Roman"/>
          <w:sz w:val="32"/>
          <w:szCs w:val="32"/>
          <w:lang w:val="en-US" w:eastAsia="zh-CN"/>
        </w:rPr>
        <w:t>同类政策标准不一致的，按照从高不重复原则</w:t>
      </w:r>
      <w:r>
        <w:rPr>
          <w:rFonts w:hint="eastAsia" w:ascii="Times New Roman" w:hAnsi="Times New Roman" w:eastAsia="仿宋_GB2312" w:cs="Times New Roman"/>
          <w:sz w:val="32"/>
          <w:szCs w:val="32"/>
          <w:lang w:val="en-US" w:eastAsia="zh-CN"/>
        </w:rPr>
        <w:t>执行</w:t>
      </w:r>
      <w:r>
        <w:rPr>
          <w:rFonts w:hint="default" w:ascii="Times New Roman" w:hAnsi="Times New Roman" w:eastAsia="仿宋_GB2312" w:cs="Times New Roman"/>
          <w:sz w:val="32"/>
          <w:szCs w:val="32"/>
          <w:lang w:val="en-US" w:eastAsia="zh-CN"/>
        </w:rPr>
        <w:t>。</w:t>
      </w:r>
    </w:p>
    <w:p>
      <w:pPr>
        <w:keepNext w:val="0"/>
        <w:keepLines w:val="0"/>
        <w:pageBreakBefore w:val="0"/>
        <w:widowControl w:val="0"/>
        <w:wordWrap/>
        <w:topLinePunct w:val="0"/>
        <w:bidi w:val="0"/>
        <w:spacing w:beforeAutospacing="0" w:afterAutospacing="0" w:line="560" w:lineRule="exact"/>
        <w:ind w:left="0" w:leftChars="0" w:firstLine="640" w:firstLineChars="200"/>
        <w:jc w:val="both"/>
        <w:rPr>
          <w:rFonts w:hint="eastAsia"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lang w:val="en-US" w:eastAsia="zh-CN"/>
        </w:rPr>
        <w:t>本措施所称“专精特新‘小巨人’企业”指辖区内经工信部认定的专精特新“小巨人”企业；所称“专精特新中小企业”包括辖区内经广东省工信厅认定且在有效期内的广东省专精特新中小企业、经深圳市中小企业服务局认定且在有效期内的专精特新中小企业以及根据《优质中小企业梯队培育管理暂行办法》（工信部企业〔2022〕63号）认定的专精特新中小企业；所称“专精特新企业”包括“专精特新‘小巨人’企业”和“专精特新中小企业”；所称“创新型中小企业”指辖区内根据《优质中小企业梯队培育管理暂行办法》（工信部企业〔2022〕63号）认定的创新型中小企业。</w:t>
      </w:r>
    </w:p>
    <w:p>
      <w:pPr>
        <w:pStyle w:val="2"/>
        <w:keepNext w:val="0"/>
        <w:keepLines w:val="0"/>
        <w:pageBreakBefore w:val="0"/>
        <w:widowControl w:val="0"/>
        <w:wordWrap/>
        <w:topLinePunct w:val="0"/>
        <w:bidi w:val="0"/>
        <w:spacing w:before="0" w:beforeLines="0" w:beforeAutospacing="0" w:after="0" w:afterLines="0" w:afterAutospacing="0" w:line="560" w:lineRule="exact"/>
        <w:ind w:left="0" w:leftChars="0" w:firstLine="640" w:firstLineChars="200"/>
        <w:jc w:val="both"/>
        <w:rPr>
          <w:rFonts w:hint="eastAsia" w:ascii="Times New Roman" w:hAnsi="Times New Roman" w:eastAsia="仿宋_GB2312" w:cs="Times New Roman"/>
          <w:b w:val="0"/>
          <w:bCs/>
          <w:kern w:val="2"/>
          <w:sz w:val="32"/>
          <w:szCs w:val="32"/>
          <w:lang w:val="en-US" w:eastAsia="zh-CN" w:bidi="ar-SA"/>
        </w:rPr>
      </w:pPr>
      <w:r>
        <w:rPr>
          <w:rFonts w:hint="eastAsia" w:ascii="Times New Roman" w:hAnsi="Times New Roman" w:eastAsia="仿宋_GB2312" w:cs="Times New Roman"/>
          <w:b w:val="0"/>
          <w:bCs/>
          <w:kern w:val="2"/>
          <w:sz w:val="32"/>
          <w:szCs w:val="32"/>
          <w:lang w:val="en-US" w:eastAsia="zh-CN" w:bidi="ar-SA"/>
        </w:rPr>
        <w:t>本措施由南山区人民政府负责解释，具体解释工作由南山区工业和信息化局承担。</w:t>
      </w:r>
    </w:p>
    <w:p>
      <w:pPr>
        <w:keepNext w:val="0"/>
        <w:keepLines w:val="0"/>
        <w:pageBreakBefore w:val="0"/>
        <w:widowControl w:val="0"/>
        <w:wordWrap/>
        <w:topLinePunct w:val="0"/>
        <w:bidi w:val="0"/>
        <w:spacing w:beforeAutospacing="0" w:afterAutospacing="0" w:line="560" w:lineRule="exact"/>
        <w:ind w:left="0" w:leftChars="0"/>
        <w:rPr>
          <w:rFonts w:hint="eastAsia" w:ascii="Times New Roman" w:hAnsi="Times New Roman" w:eastAsia="仿宋_GB2312" w:cs="Times New Roman"/>
          <w:b w:val="0"/>
          <w:bCs/>
          <w:kern w:val="2"/>
          <w:sz w:val="32"/>
          <w:szCs w:val="32"/>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rPr>
          <w:rFonts w:hint="eastAsia" w:ascii="Times New Roman" w:hAnsi="Times New Roman" w:eastAsia="仿宋_GB2312" w:cs="Times New Roman"/>
          <w:b w:val="0"/>
          <w:bCs/>
          <w:kern w:val="2"/>
          <w:sz w:val="32"/>
          <w:szCs w:val="32"/>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rPr>
          <w:rFonts w:hint="eastAsia" w:ascii="Times New Roman" w:hAnsi="Times New Roman" w:eastAsia="仿宋_GB2312" w:cs="Times New Roman"/>
          <w:b w:val="0"/>
          <w:bCs/>
          <w:kern w:val="2"/>
          <w:sz w:val="32"/>
          <w:szCs w:val="32"/>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rPr>
          <w:rFonts w:hint="eastAsia" w:ascii="Times New Roman" w:hAnsi="Times New Roman" w:eastAsia="仿宋_GB2312" w:cs="Times New Roman"/>
          <w:b w:val="0"/>
          <w:bCs/>
          <w:kern w:val="2"/>
          <w:sz w:val="32"/>
          <w:szCs w:val="32"/>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rPr>
          <w:rFonts w:hint="eastAsia" w:ascii="Times New Roman" w:hAnsi="Times New Roman" w:eastAsia="仿宋_GB2312" w:cs="Times New Roman"/>
          <w:b w:val="0"/>
          <w:bCs/>
          <w:kern w:val="2"/>
          <w:sz w:val="32"/>
          <w:szCs w:val="32"/>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rPr>
          <w:rFonts w:hint="eastAsia" w:ascii="Times New Roman" w:hAnsi="Times New Roman" w:eastAsia="仿宋_GB2312" w:cs="Times New Roman"/>
          <w:b w:val="0"/>
          <w:bCs/>
          <w:kern w:val="2"/>
          <w:sz w:val="32"/>
          <w:szCs w:val="32"/>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rPr>
          <w:rFonts w:hint="eastAsia" w:ascii="Times New Roman" w:hAnsi="Times New Roman" w:eastAsia="仿宋_GB2312" w:cs="Times New Roman"/>
          <w:b w:val="0"/>
          <w:bCs/>
          <w:kern w:val="2"/>
          <w:sz w:val="32"/>
          <w:szCs w:val="32"/>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rPr>
          <w:rFonts w:hint="eastAsia" w:ascii="Times New Roman" w:hAnsi="Times New Roman" w:eastAsia="仿宋_GB2312" w:cs="Times New Roman"/>
          <w:b w:val="0"/>
          <w:bCs/>
          <w:kern w:val="2"/>
          <w:sz w:val="32"/>
          <w:szCs w:val="32"/>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rPr>
          <w:rFonts w:hint="eastAsia" w:ascii="Times New Roman" w:hAnsi="Times New Roman" w:eastAsia="仿宋_GB2312" w:cs="Times New Roman"/>
          <w:b w:val="0"/>
          <w:bCs/>
          <w:kern w:val="2"/>
          <w:sz w:val="32"/>
          <w:szCs w:val="32"/>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rPr>
          <w:rFonts w:hint="eastAsia" w:ascii="Times New Roman" w:hAnsi="Times New Roman" w:eastAsia="仿宋_GB2312" w:cs="Times New Roman"/>
          <w:b w:val="0"/>
          <w:bCs/>
          <w:kern w:val="2"/>
          <w:sz w:val="32"/>
          <w:szCs w:val="32"/>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rPr>
          <w:rFonts w:hint="eastAsia" w:ascii="Times New Roman" w:hAnsi="Times New Roman" w:eastAsia="仿宋_GB2312" w:cs="Times New Roman"/>
          <w:b w:val="0"/>
          <w:bCs/>
          <w:kern w:val="2"/>
          <w:sz w:val="32"/>
          <w:szCs w:val="32"/>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rPr>
          <w:rFonts w:hint="eastAsia" w:ascii="Times New Roman" w:hAnsi="Times New Roman" w:eastAsia="仿宋_GB2312" w:cs="Times New Roman"/>
          <w:b w:val="0"/>
          <w:bCs/>
          <w:kern w:val="2"/>
          <w:sz w:val="32"/>
          <w:szCs w:val="32"/>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rPr>
          <w:rFonts w:hint="eastAsia" w:ascii="Times New Roman" w:hAnsi="Times New Roman" w:eastAsia="仿宋_GB2312" w:cs="Times New Roman"/>
          <w:b w:val="0"/>
          <w:bCs/>
          <w:kern w:val="2"/>
          <w:sz w:val="32"/>
          <w:szCs w:val="32"/>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rPr>
          <w:rFonts w:hint="eastAsia" w:ascii="Times New Roman" w:hAnsi="Times New Roman" w:eastAsia="仿宋_GB2312" w:cs="Times New Roman"/>
          <w:b w:val="0"/>
          <w:bCs/>
          <w:kern w:val="2"/>
          <w:sz w:val="32"/>
          <w:szCs w:val="32"/>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rPr>
          <w:rFonts w:hint="eastAsia" w:ascii="Times New Roman" w:hAnsi="Times New Roman" w:eastAsia="仿宋_GB2312" w:cs="Times New Roman"/>
          <w:b w:val="0"/>
          <w:bCs/>
          <w:kern w:val="2"/>
          <w:sz w:val="32"/>
          <w:szCs w:val="32"/>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rPr>
          <w:rFonts w:hint="eastAsia" w:ascii="Times New Roman" w:hAnsi="Times New Roman" w:eastAsia="仿宋_GB2312" w:cs="Times New Roman"/>
          <w:b w:val="0"/>
          <w:bCs/>
          <w:kern w:val="2"/>
          <w:sz w:val="32"/>
          <w:szCs w:val="32"/>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rPr>
          <w:rFonts w:hint="eastAsia" w:ascii="Times New Roman" w:hAnsi="Times New Roman" w:eastAsia="仿宋_GB2312" w:cs="Times New Roman"/>
          <w:b w:val="0"/>
          <w:bCs/>
          <w:kern w:val="2"/>
          <w:sz w:val="32"/>
          <w:szCs w:val="32"/>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rPr>
          <w:rFonts w:hint="eastAsia" w:ascii="Times New Roman" w:hAnsi="Times New Roman" w:eastAsia="仿宋_GB2312" w:cs="Times New Roman"/>
          <w:b w:val="0"/>
          <w:bCs/>
          <w:kern w:val="2"/>
          <w:sz w:val="32"/>
          <w:szCs w:val="32"/>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rPr>
          <w:rFonts w:hint="eastAsia" w:ascii="Times New Roman" w:hAnsi="Times New Roman" w:eastAsia="仿宋_GB2312" w:cs="Times New Roman"/>
          <w:b w:val="0"/>
          <w:bCs/>
          <w:kern w:val="2"/>
          <w:sz w:val="32"/>
          <w:szCs w:val="32"/>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rPr>
          <w:rFonts w:hint="eastAsia" w:ascii="Times New Roman" w:hAnsi="Times New Roman" w:eastAsia="仿宋_GB2312" w:cs="Times New Roman"/>
          <w:b w:val="0"/>
          <w:bCs/>
          <w:kern w:val="2"/>
          <w:sz w:val="32"/>
          <w:szCs w:val="32"/>
          <w:lang w:val="en-US" w:eastAsia="zh-CN" w:bidi="ar-SA"/>
        </w:rPr>
      </w:pPr>
    </w:p>
    <w:p>
      <w:pPr>
        <w:pStyle w:val="12"/>
        <w:keepNext w:val="0"/>
        <w:keepLines w:val="0"/>
        <w:pageBreakBefore w:val="0"/>
        <w:widowControl w:val="0"/>
        <w:wordWrap/>
        <w:topLinePunct w:val="0"/>
        <w:bidi w:val="0"/>
        <w:spacing w:beforeAutospacing="0" w:after="0" w:afterAutospacing="0" w:line="560" w:lineRule="exact"/>
        <w:ind w:left="0" w:leftChars="0"/>
        <w:rPr>
          <w:rFonts w:hint="eastAsia" w:ascii="Times New Roman" w:hAnsi="Times New Roman" w:eastAsia="仿宋_GB2312" w:cs="Times New Roman"/>
          <w:b w:val="0"/>
          <w:bCs/>
          <w:kern w:val="2"/>
          <w:sz w:val="32"/>
          <w:szCs w:val="32"/>
          <w:lang w:val="en-US" w:eastAsia="zh-CN" w:bidi="ar-SA"/>
        </w:rPr>
      </w:pPr>
    </w:p>
    <w:p>
      <w:pP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br w:type="page"/>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firstLine="0" w:firstLineChars="0"/>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南山区促进绿色低碳发展专项扶持措施</w:t>
      </w:r>
      <w:bookmarkStart w:id="1435" w:name="_Toc100245620"/>
      <w:bookmarkStart w:id="1436" w:name="_Toc18660"/>
      <w:bookmarkStart w:id="1437" w:name="_Toc15419"/>
      <w:bookmarkStart w:id="1438" w:name="_Toc27898"/>
      <w:bookmarkStart w:id="1439" w:name="_Toc91503680"/>
      <w:bookmarkStart w:id="1440" w:name="_Toc25888"/>
      <w:bookmarkStart w:id="1441" w:name="_Toc22428"/>
      <w:bookmarkStart w:id="1442" w:name="_Toc26534"/>
      <w:bookmarkStart w:id="1443" w:name="_Toc1260960596"/>
      <w:bookmarkStart w:id="1444" w:name="_Toc25302"/>
      <w:bookmarkStart w:id="1445" w:name="_Toc118"/>
      <w:bookmarkStart w:id="1446" w:name="_Toc981"/>
      <w:bookmarkStart w:id="1447" w:name="_Toc29854"/>
      <w:bookmarkStart w:id="1448" w:name="_Toc29268"/>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ascii="宋体" w:hAnsi="宋体" w:eastAsia="宋体" w:cs="宋体"/>
          <w:b/>
          <w:bCs/>
          <w:sz w:val="36"/>
          <w:szCs w:val="36"/>
        </w:rPr>
      </w:pPr>
      <w:r>
        <w:rPr>
          <w:rFonts w:hint="eastAsia" w:ascii="宋体" w:hAnsi="宋体" w:eastAsia="宋体" w:cs="宋体"/>
          <w:b/>
          <w:bCs/>
          <w:sz w:val="36"/>
          <w:szCs w:val="36"/>
        </w:rPr>
        <w:t>（征求意见稿）</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ascii="黑体" w:hAnsi="黑体" w:eastAsia="黑体" w:cs="黑体"/>
          <w:shd w:val="clear" w:color="auto" w:fill="FFFFFF"/>
        </w:rPr>
      </w:pPr>
    </w:p>
    <w:p>
      <w:pPr>
        <w:pStyle w:val="10"/>
        <w:keepNext w:val="0"/>
        <w:keepLines w:val="0"/>
        <w:pageBreakBefore w:val="0"/>
        <w:widowControl w:val="0"/>
        <w:tabs>
          <w:tab w:val="right" w:leader="dot" w:pos="8250"/>
        </w:tabs>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outlineLvl w:val="0"/>
        <w:rPr>
          <w:rFonts w:hint="eastAsia" w:eastAsia="黑体" w:asciiTheme="minorHAnsi" w:hAnsiTheme="minorHAnsi" w:cstheme="minorBidi"/>
          <w:caps w:val="0"/>
          <w:sz w:val="32"/>
          <w:shd w:val="clear" w:color="auto" w:fill="FFFFFF"/>
        </w:rPr>
      </w:pPr>
      <w:r>
        <w:rPr>
          <w:rFonts w:hint="eastAsia" w:eastAsia="黑体" w:asciiTheme="minorHAnsi" w:hAnsiTheme="minorHAnsi" w:cstheme="minorBidi"/>
          <w:caps w:val="0"/>
          <w:sz w:val="32"/>
          <w:shd w:val="clear" w:color="auto" w:fill="FFFFFF"/>
        </w:rPr>
        <w:t xml:space="preserve">第一章 </w:t>
      </w:r>
      <w:r>
        <w:rPr>
          <w:rFonts w:hint="eastAsia" w:eastAsia="黑体" w:asciiTheme="minorHAnsi" w:hAnsiTheme="minorHAnsi" w:cstheme="minorBidi"/>
          <w:caps w:val="0"/>
          <w:sz w:val="32"/>
          <w:shd w:val="clear" w:color="auto" w:fill="FFFFFF"/>
          <w:lang w:val="en-US" w:eastAsia="zh-CN"/>
        </w:rPr>
        <w:t xml:space="preserve"> </w:t>
      </w:r>
      <w:r>
        <w:rPr>
          <w:rFonts w:hint="eastAsia" w:eastAsia="黑体" w:asciiTheme="minorHAnsi" w:hAnsiTheme="minorHAnsi" w:cstheme="minorBidi"/>
          <w:caps w:val="0"/>
          <w:sz w:val="32"/>
          <w:shd w:val="clear" w:color="auto" w:fill="FFFFFF"/>
        </w:rPr>
        <w:t>基本规定</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5"/>
        <w:keepNext w:val="0"/>
        <w:keepLines w:val="0"/>
        <w:pageBreakBefore w:val="0"/>
        <w:widowControl w:val="0"/>
        <w:numPr>
          <w:ilvl w:val="-1"/>
          <w:numId w:val="0"/>
        </w:numPr>
        <w:kinsoku/>
        <w:wordWrap/>
        <w:overflowPunct/>
        <w:topLinePunct w:val="0"/>
        <w:autoSpaceDE/>
        <w:autoSpaceDN/>
        <w:bidi w:val="0"/>
        <w:adjustRightInd/>
        <w:snapToGrid/>
        <w:spacing w:before="0" w:beforeAutospacing="0" w:after="0" w:afterAutospacing="0" w:line="560" w:lineRule="exact"/>
        <w:ind w:left="0" w:leftChars="0" w:firstLine="0" w:firstLineChars="0"/>
        <w:textAlignment w:val="auto"/>
        <w:rPr>
          <w:rFonts w:hint="eastAsia" w:ascii="楷体_GB2312" w:hAnsi="楷体_GB2312" w:eastAsia="楷体_GB2312" w:cs="楷体_GB2312"/>
          <w:bCs w:val="0"/>
          <w:sz w:val="32"/>
          <w:szCs w:val="32"/>
          <w:shd w:val="clear" w:color="auto" w:fill="FFFFFF"/>
          <w:lang w:eastAsia="zh-CN"/>
        </w:rPr>
      </w:pPr>
      <w:bookmarkStart w:id="1449" w:name="_Toc91503681"/>
    </w:p>
    <w:p>
      <w:pPr>
        <w:pStyle w:val="5"/>
        <w:keepNext w:val="0"/>
        <w:keepLines w:val="0"/>
        <w:pageBreakBefore w:val="0"/>
        <w:widowControl w:val="0"/>
        <w:numPr>
          <w:ilvl w:val="-1"/>
          <w:numId w:val="0"/>
        </w:numPr>
        <w:kinsoku/>
        <w:wordWrap/>
        <w:overflowPunct/>
        <w:topLinePunct w:val="0"/>
        <w:autoSpaceDE/>
        <w:autoSpaceDN/>
        <w:bidi w:val="0"/>
        <w:adjustRightInd/>
        <w:snapToGrid/>
        <w:spacing w:before="0" w:beforeAutospacing="0" w:after="0" w:afterAutospacing="0" w:line="560" w:lineRule="exact"/>
        <w:ind w:left="0" w:leftChars="0" w:firstLine="643" w:firstLineChars="200"/>
        <w:textAlignment w:val="auto"/>
        <w:rPr>
          <w:rFonts w:hint="eastAsia" w:ascii="楷体_GB2312" w:hAnsi="楷体_GB2312" w:eastAsia="楷体_GB2312" w:cs="楷体_GB2312"/>
          <w:b/>
          <w:bCs w:val="0"/>
          <w:color w:val="auto"/>
          <w:sz w:val="32"/>
          <w:szCs w:val="24"/>
          <w:highlight w:val="none"/>
        </w:rPr>
      </w:pPr>
      <w:r>
        <w:rPr>
          <w:rFonts w:hint="eastAsia" w:ascii="楷体_GB2312" w:hAnsi="楷体_GB2312" w:eastAsia="楷体_GB2312" w:cs="楷体_GB2312"/>
          <w:b/>
          <w:bCs w:val="0"/>
          <w:color w:val="auto"/>
          <w:sz w:val="32"/>
          <w:szCs w:val="24"/>
          <w:highlight w:val="none"/>
          <w:shd w:val="clear" w:color="auto" w:fill="auto"/>
          <w:lang w:eastAsia="zh-CN"/>
        </w:rPr>
        <w:t>第一条</w:t>
      </w:r>
      <w:r>
        <w:rPr>
          <w:rFonts w:hint="eastAsia" w:ascii="楷体_GB2312" w:hAnsi="楷体_GB2312" w:eastAsia="楷体_GB2312" w:cs="楷体_GB2312"/>
          <w:b/>
          <w:bCs w:val="0"/>
          <w:color w:val="auto"/>
          <w:sz w:val="32"/>
          <w:szCs w:val="24"/>
          <w:highlight w:val="none"/>
          <w:shd w:val="clear" w:color="auto" w:fill="auto"/>
          <w:lang w:val="en-US" w:eastAsia="zh-CN"/>
        </w:rPr>
        <w:t xml:space="preserve">  </w:t>
      </w:r>
      <w:bookmarkStart w:id="1450" w:name="_Toc24633"/>
      <w:bookmarkStart w:id="1451" w:name="_Toc9463"/>
      <w:bookmarkStart w:id="1452" w:name="_Toc31755"/>
      <w:bookmarkStart w:id="1453" w:name="_Toc1900797592"/>
      <w:bookmarkStart w:id="1454" w:name="_Toc27444"/>
      <w:bookmarkStart w:id="1455" w:name="_Toc13481"/>
      <w:bookmarkStart w:id="1456" w:name="_Toc6920"/>
      <w:bookmarkStart w:id="1457" w:name="_Toc31880"/>
      <w:bookmarkStart w:id="1458" w:name="_Toc29954"/>
      <w:bookmarkStart w:id="1459" w:name="_Toc2090"/>
      <w:bookmarkStart w:id="1460" w:name="_Toc5452"/>
      <w:bookmarkStart w:id="1461" w:name="_Toc4781"/>
      <w:bookmarkStart w:id="1462" w:name="_Toc100245621"/>
      <w:r>
        <w:rPr>
          <w:rFonts w:hint="eastAsia" w:ascii="楷体_GB2312" w:hAnsi="楷体_GB2312" w:eastAsia="楷体_GB2312" w:cs="楷体_GB2312"/>
          <w:b/>
          <w:bCs w:val="0"/>
          <w:color w:val="auto"/>
          <w:sz w:val="32"/>
          <w:szCs w:val="24"/>
          <w:highlight w:val="none"/>
          <w:shd w:val="clear" w:color="auto" w:fill="auto"/>
        </w:rPr>
        <w:t>目的</w:t>
      </w:r>
      <w:bookmarkEnd w:id="1450"/>
      <w:bookmarkEnd w:id="1451"/>
      <w:bookmarkEnd w:id="1452"/>
      <w:bookmarkEnd w:id="1453"/>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为贯彻《中共中央国务院关于完整准确全面贯彻新发展理念做好碳达峰碳中和工作的意见》，落实绿色低碳发展理念，不断提升区域发展的质量和效益，建设国际化生态型创新城区，根据</w:t>
      </w:r>
      <w:r>
        <w:rPr>
          <w:rFonts w:hint="eastAsia" w:ascii="仿宋_GB2312" w:hAnsi="仿宋_GB2312" w:eastAsia="仿宋_GB2312" w:cs="仿宋_GB2312"/>
          <w:sz w:val="32"/>
          <w:szCs w:val="32"/>
        </w:rPr>
        <w:t>中国人民银行等七部委《关于构建绿色金融体系的指导意见》（银发〔2016〕228号）</w:t>
      </w:r>
      <w:r>
        <w:rPr>
          <w:rFonts w:hint="eastAsia" w:ascii="仿宋_GB2312" w:hAnsi="仿宋_GB2312" w:eastAsia="仿宋_GB2312" w:cs="仿宋_GB2312"/>
          <w:sz w:val="32"/>
          <w:szCs w:val="32"/>
          <w:shd w:val="clear" w:color="auto" w:fill="FFFFFF"/>
        </w:rPr>
        <w:t>《中华人民共和国节约能源法》等有关规定，结合我区《深圳市南山区重点产业“十四五”发展规划》《深圳市南山区国民经济和社会发展第十四个五年规划纲要》等文件，进一步加快发展绿色经济，促进产业集群向低碳、绿色方向高质量发展转型，制定本措施。</w:t>
      </w:r>
    </w:p>
    <w:p>
      <w:pPr>
        <w:pStyle w:val="5"/>
        <w:keepNext w:val="0"/>
        <w:keepLines w:val="0"/>
        <w:pageBreakBefore w:val="0"/>
        <w:widowControl w:val="0"/>
        <w:numPr>
          <w:ilvl w:val="-1"/>
          <w:numId w:val="0"/>
        </w:numPr>
        <w:kinsoku/>
        <w:wordWrap/>
        <w:overflowPunct/>
        <w:topLinePunct w:val="0"/>
        <w:autoSpaceDE/>
        <w:autoSpaceDN/>
        <w:bidi w:val="0"/>
        <w:adjustRightInd/>
        <w:snapToGrid/>
        <w:spacing w:before="0" w:beforeAutospacing="0" w:after="0" w:afterAutospacing="0" w:line="560" w:lineRule="exact"/>
        <w:ind w:left="0" w:leftChars="0" w:firstLine="643" w:firstLineChars="200"/>
        <w:textAlignment w:val="auto"/>
        <w:rPr>
          <w:rFonts w:hint="eastAsia" w:ascii="楷体_GB2312" w:hAnsi="楷体_GB2312" w:eastAsia="楷体_GB2312" w:cs="楷体_GB2312"/>
          <w:b/>
          <w:bCs w:val="0"/>
          <w:color w:val="auto"/>
          <w:sz w:val="32"/>
          <w:szCs w:val="24"/>
          <w:highlight w:val="none"/>
          <w:shd w:val="clear" w:color="auto" w:fill="auto"/>
        </w:rPr>
      </w:pPr>
      <w:bookmarkStart w:id="1463" w:name="_Toc91503682"/>
      <w:r>
        <w:rPr>
          <w:rFonts w:hint="eastAsia" w:ascii="楷体_GB2312" w:hAnsi="楷体_GB2312" w:eastAsia="楷体_GB2312" w:cs="楷体_GB2312"/>
          <w:b/>
          <w:bCs w:val="0"/>
          <w:color w:val="auto"/>
          <w:sz w:val="32"/>
          <w:szCs w:val="24"/>
          <w:highlight w:val="none"/>
          <w:shd w:val="clear" w:color="auto" w:fill="auto"/>
          <w:lang w:eastAsia="zh-CN"/>
        </w:rPr>
        <w:t>第二条</w:t>
      </w:r>
      <w:r>
        <w:rPr>
          <w:rFonts w:hint="eastAsia" w:ascii="楷体_GB2312" w:hAnsi="楷体_GB2312" w:eastAsia="楷体_GB2312" w:cs="楷体_GB2312"/>
          <w:b/>
          <w:bCs w:val="0"/>
          <w:color w:val="auto"/>
          <w:sz w:val="32"/>
          <w:szCs w:val="24"/>
          <w:highlight w:val="none"/>
          <w:shd w:val="clear" w:color="auto" w:fill="auto"/>
          <w:lang w:val="en-US" w:eastAsia="zh-CN"/>
        </w:rPr>
        <w:t xml:space="preserve">  </w:t>
      </w:r>
      <w:bookmarkStart w:id="1464" w:name="_Toc16915"/>
      <w:bookmarkStart w:id="1465" w:name="_Toc1429879781"/>
      <w:bookmarkStart w:id="1466" w:name="_Toc11640"/>
      <w:bookmarkStart w:id="1467" w:name="_Toc30902"/>
      <w:bookmarkStart w:id="1468" w:name="_Toc100245622"/>
      <w:r>
        <w:rPr>
          <w:rFonts w:hint="eastAsia" w:ascii="楷体_GB2312" w:hAnsi="楷体_GB2312" w:eastAsia="楷体_GB2312" w:cs="楷体_GB2312"/>
          <w:b/>
          <w:bCs w:val="0"/>
          <w:color w:val="auto"/>
          <w:sz w:val="32"/>
          <w:szCs w:val="24"/>
          <w:highlight w:val="none"/>
          <w:shd w:val="clear" w:color="auto" w:fill="auto"/>
        </w:rPr>
        <w:t>适用范围</w:t>
      </w:r>
      <w:bookmarkEnd w:id="1463"/>
      <w:bookmarkEnd w:id="1464"/>
      <w:bookmarkEnd w:id="1465"/>
      <w:bookmarkEnd w:id="1466"/>
      <w:bookmarkEnd w:id="1467"/>
      <w:bookmarkEnd w:id="1468"/>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本措施申报主体原则上应</w:t>
      </w:r>
      <w:r>
        <w:rPr>
          <w:rFonts w:ascii="仿宋_GB2312" w:hAnsi="仿宋_GB2312" w:eastAsia="仿宋_GB2312" w:cs="仿宋_GB2312"/>
          <w:sz w:val="32"/>
          <w:szCs w:val="32"/>
          <w:shd w:val="clear" w:color="auto" w:fill="FFFFFF"/>
        </w:rPr>
        <w:t>为</w:t>
      </w:r>
      <w:r>
        <w:rPr>
          <w:rFonts w:hint="eastAsia" w:ascii="仿宋_GB2312" w:hAnsi="仿宋_GB2312" w:eastAsia="仿宋_GB2312" w:cs="仿宋_GB2312"/>
          <w:sz w:val="32"/>
          <w:szCs w:val="32"/>
          <w:shd w:val="clear" w:color="auto" w:fill="FFFFFF"/>
        </w:rPr>
        <w:t>符合《南山区自主创新产业发展专项资金管理办法》规定的独立法人、注册地等相关条件</w:t>
      </w:r>
      <w:r>
        <w:rPr>
          <w:rFonts w:ascii="仿宋_GB2312" w:hAnsi="仿宋_GB2312" w:eastAsia="仿宋_GB2312" w:cs="仿宋_GB2312"/>
          <w:sz w:val="32"/>
          <w:szCs w:val="32"/>
          <w:shd w:val="clear" w:color="auto" w:fill="FFFFFF"/>
        </w:rPr>
        <w:t>，且</w:t>
      </w:r>
      <w:r>
        <w:rPr>
          <w:rFonts w:hint="eastAsia" w:ascii="仿宋_GB2312" w:hAnsi="仿宋_GB2312" w:eastAsia="仿宋_GB2312" w:cs="仿宋_GB2312"/>
          <w:sz w:val="32"/>
          <w:szCs w:val="32"/>
          <w:shd w:val="clear" w:color="auto" w:fill="FFFFFF"/>
        </w:rPr>
        <w:t>符合国家、省、市、区信用管理规定</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以下情形除外：</w:t>
      </w:r>
    </w:p>
    <w:p>
      <w:pPr>
        <w:pStyle w:val="11"/>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60" w:lineRule="exact"/>
        <w:ind w:left="0" w:leftChars="0" w:firstLineChars="0"/>
        <w:jc w:val="both"/>
        <w:textAlignment w:val="auto"/>
        <w:rPr>
          <w:rFonts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一年内受生态环境保护行政主管部门行政处罚</w:t>
      </w:r>
      <w:r>
        <w:rPr>
          <w:rFonts w:ascii="仿宋_GB2312" w:hAnsi="仿宋_GB2312" w:eastAsia="仿宋_GB2312" w:cs="仿宋_GB2312"/>
          <w:kern w:val="2"/>
          <w:sz w:val="32"/>
          <w:szCs w:val="32"/>
          <w:shd w:val="clear" w:color="auto" w:fill="FFFFFF"/>
        </w:rPr>
        <w:t>或</w:t>
      </w:r>
      <w:r>
        <w:rPr>
          <w:rFonts w:hint="eastAsia" w:ascii="仿宋_GB2312" w:hAnsi="仿宋_GB2312" w:eastAsia="仿宋_GB2312" w:cs="仿宋_GB2312"/>
          <w:kern w:val="2"/>
          <w:sz w:val="32"/>
          <w:szCs w:val="32"/>
          <w:shd w:val="clear" w:color="auto" w:fill="FFFFFF"/>
        </w:rPr>
        <w:t>因社会危害性较大的违法行为被处</w:t>
      </w:r>
      <w:r>
        <w:rPr>
          <w:rFonts w:ascii="仿宋_GB2312" w:hAnsi="仿宋_GB2312" w:eastAsia="仿宋_GB2312" w:cs="仿宋_GB2312"/>
          <w:kern w:val="2"/>
          <w:sz w:val="32"/>
          <w:szCs w:val="32"/>
          <w:shd w:val="clear" w:color="auto" w:fill="FFFFFF"/>
        </w:rPr>
        <w:t>以</w:t>
      </w:r>
      <w:r>
        <w:rPr>
          <w:rFonts w:hint="eastAsia" w:ascii="仿宋_GB2312" w:hAnsi="仿宋_GB2312" w:eastAsia="仿宋_GB2312" w:cs="仿宋_GB2312"/>
          <w:kern w:val="2"/>
          <w:sz w:val="32"/>
          <w:szCs w:val="32"/>
          <w:shd w:val="clear" w:color="auto" w:fill="FFFFFF"/>
        </w:rPr>
        <w:t>安全生产行政处罚</w:t>
      </w:r>
      <w:r>
        <w:rPr>
          <w:rFonts w:ascii="仿宋_GB2312" w:hAnsi="仿宋_GB2312" w:eastAsia="仿宋_GB2312" w:cs="仿宋_GB2312"/>
          <w:kern w:val="2"/>
          <w:sz w:val="32"/>
          <w:szCs w:val="32"/>
          <w:shd w:val="clear" w:color="auto" w:fill="FFFFFF"/>
        </w:rPr>
        <w:t>的；</w:t>
      </w:r>
    </w:p>
    <w:p>
      <w:pPr>
        <w:pStyle w:val="11"/>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60" w:lineRule="exact"/>
        <w:ind w:left="0" w:leftChars="0" w:firstLineChars="0"/>
        <w:jc w:val="both"/>
        <w:textAlignment w:val="auto"/>
        <w:rPr>
          <w:rFonts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三年内发生</w:t>
      </w:r>
      <w:r>
        <w:rPr>
          <w:rFonts w:ascii="仿宋_GB2312" w:hAnsi="仿宋_GB2312" w:eastAsia="仿宋_GB2312" w:cs="仿宋_GB2312"/>
          <w:kern w:val="2"/>
          <w:sz w:val="32"/>
          <w:szCs w:val="32"/>
          <w:shd w:val="clear" w:color="auto" w:fill="FFFFFF"/>
        </w:rPr>
        <w:t>过</w:t>
      </w:r>
      <w:r>
        <w:rPr>
          <w:rFonts w:hint="eastAsia" w:ascii="仿宋_GB2312" w:hAnsi="仿宋_GB2312" w:eastAsia="仿宋_GB2312" w:cs="仿宋_GB2312"/>
          <w:kern w:val="2"/>
          <w:sz w:val="32"/>
          <w:szCs w:val="32"/>
          <w:shd w:val="clear" w:color="auto" w:fill="FFFFFF"/>
        </w:rPr>
        <w:t>生态环境类犯罪</w:t>
      </w:r>
      <w:r>
        <w:rPr>
          <w:rFonts w:ascii="仿宋_GB2312" w:hAnsi="仿宋_GB2312" w:eastAsia="仿宋_GB2312" w:cs="仿宋_GB2312"/>
          <w:kern w:val="2"/>
          <w:sz w:val="32"/>
          <w:szCs w:val="32"/>
          <w:shd w:val="clear" w:color="auto" w:fill="FFFFFF"/>
        </w:rPr>
        <w:t>或</w:t>
      </w:r>
      <w:r>
        <w:rPr>
          <w:rFonts w:hint="eastAsia" w:ascii="仿宋_GB2312" w:hAnsi="仿宋_GB2312" w:eastAsia="仿宋_GB2312" w:cs="仿宋_GB2312"/>
          <w:kern w:val="2"/>
          <w:sz w:val="32"/>
          <w:szCs w:val="32"/>
          <w:shd w:val="clear" w:color="auto" w:fill="FFFFFF"/>
        </w:rPr>
        <w:t>发生生产安全责任事故</w:t>
      </w:r>
      <w:r>
        <w:rPr>
          <w:rFonts w:ascii="仿宋_GB2312" w:hAnsi="仿宋_GB2312" w:eastAsia="仿宋_GB2312" w:cs="仿宋_GB2312"/>
          <w:kern w:val="2"/>
          <w:sz w:val="32"/>
          <w:szCs w:val="32"/>
          <w:shd w:val="clear" w:color="auto" w:fill="FFFFFF"/>
        </w:rPr>
        <w:t>的</w:t>
      </w:r>
      <w:r>
        <w:rPr>
          <w:rFonts w:hint="eastAsia" w:ascii="仿宋_GB2312" w:hAnsi="仿宋_GB2312" w:eastAsia="仿宋_GB2312" w:cs="仿宋_GB2312"/>
          <w:kern w:val="2"/>
          <w:sz w:val="32"/>
          <w:szCs w:val="32"/>
          <w:shd w:val="clear" w:color="auto" w:fill="FFFFFF"/>
        </w:rPr>
        <w:t>；</w:t>
      </w:r>
    </w:p>
    <w:p>
      <w:pPr>
        <w:pStyle w:val="5"/>
        <w:keepNext w:val="0"/>
        <w:keepLines w:val="0"/>
        <w:pageBreakBefore w:val="0"/>
        <w:widowControl w:val="0"/>
        <w:numPr>
          <w:ilvl w:val="-1"/>
          <w:numId w:val="0"/>
        </w:numPr>
        <w:kinsoku/>
        <w:wordWrap/>
        <w:overflowPunct/>
        <w:topLinePunct w:val="0"/>
        <w:autoSpaceDE/>
        <w:autoSpaceDN/>
        <w:bidi w:val="0"/>
        <w:adjustRightInd/>
        <w:snapToGrid/>
        <w:spacing w:before="0" w:beforeAutospacing="0" w:after="0" w:afterAutospacing="0" w:line="560" w:lineRule="exact"/>
        <w:ind w:left="0" w:leftChars="0" w:firstLine="643" w:firstLineChars="200"/>
        <w:textAlignment w:val="auto"/>
        <w:rPr>
          <w:rFonts w:hint="eastAsia" w:ascii="楷体_GB2312" w:hAnsi="楷体_GB2312" w:eastAsia="楷体_GB2312" w:cs="楷体_GB2312"/>
          <w:b/>
          <w:bCs w:val="0"/>
          <w:color w:val="auto"/>
          <w:sz w:val="32"/>
          <w:szCs w:val="24"/>
          <w:highlight w:val="none"/>
          <w:shd w:val="clear" w:color="auto" w:fill="auto"/>
        </w:rPr>
      </w:pPr>
      <w:bookmarkStart w:id="1469" w:name="_Toc1739635679"/>
      <w:bookmarkStart w:id="1470" w:name="_Toc12321"/>
      <w:bookmarkStart w:id="1471" w:name="_Toc5172"/>
      <w:bookmarkStart w:id="1472" w:name="_Toc100245623"/>
      <w:bookmarkStart w:id="1473" w:name="_Toc24070"/>
      <w:bookmarkStart w:id="1474" w:name="_Toc17936"/>
      <w:bookmarkStart w:id="1475" w:name="_Toc91503683"/>
      <w:r>
        <w:rPr>
          <w:rFonts w:hint="eastAsia" w:ascii="楷体_GB2312" w:hAnsi="楷体_GB2312" w:eastAsia="楷体_GB2312" w:cs="楷体_GB2312"/>
          <w:b/>
          <w:bCs w:val="0"/>
          <w:color w:val="auto"/>
          <w:sz w:val="32"/>
          <w:szCs w:val="24"/>
          <w:highlight w:val="none"/>
          <w:shd w:val="clear" w:color="auto" w:fill="auto"/>
          <w:lang w:eastAsia="zh-CN"/>
        </w:rPr>
        <w:t>第三条</w:t>
      </w:r>
      <w:r>
        <w:rPr>
          <w:rFonts w:hint="eastAsia" w:ascii="楷体_GB2312" w:hAnsi="楷体_GB2312" w:eastAsia="楷体_GB2312" w:cs="楷体_GB2312"/>
          <w:b/>
          <w:bCs w:val="0"/>
          <w:color w:val="auto"/>
          <w:sz w:val="32"/>
          <w:szCs w:val="24"/>
          <w:highlight w:val="none"/>
          <w:shd w:val="clear" w:color="auto" w:fill="auto"/>
          <w:lang w:val="en-US" w:eastAsia="zh-CN"/>
        </w:rPr>
        <w:t xml:space="preserve">  </w:t>
      </w:r>
      <w:r>
        <w:rPr>
          <w:rFonts w:hint="eastAsia" w:ascii="楷体_GB2312" w:hAnsi="楷体_GB2312" w:eastAsia="楷体_GB2312" w:cs="楷体_GB2312"/>
          <w:b/>
          <w:bCs w:val="0"/>
          <w:color w:val="auto"/>
          <w:sz w:val="32"/>
          <w:szCs w:val="24"/>
          <w:highlight w:val="none"/>
          <w:shd w:val="clear" w:color="auto" w:fill="auto"/>
        </w:rPr>
        <w:t>总体原则</w:t>
      </w:r>
      <w:bookmarkEnd w:id="1469"/>
      <w:bookmarkEnd w:id="1470"/>
      <w:bookmarkEnd w:id="1471"/>
      <w:bookmarkEnd w:id="1472"/>
      <w:bookmarkEnd w:id="1473"/>
      <w:bookmarkEnd w:id="1474"/>
    </w:p>
    <w:bookmarkEnd w:id="1475"/>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textAlignment w:val="auto"/>
        <w:rPr>
          <w:rFonts w:ascii="仿宋_GB2312" w:hAnsi="仿宋_GB2312" w:eastAsia="仿宋_GB2312" w:cs="仿宋_GB2312"/>
          <w:color w:val="FF0000"/>
          <w:sz w:val="32"/>
          <w:szCs w:val="32"/>
          <w:shd w:val="clear" w:color="auto" w:fill="FFFFFF"/>
        </w:rPr>
      </w:pPr>
      <w:bookmarkStart w:id="1476" w:name="_Toc91503684"/>
      <w:bookmarkStart w:id="1477" w:name="_Toc100245625"/>
      <w:r>
        <w:rPr>
          <w:rFonts w:hint="eastAsia" w:ascii="仿宋_GB2312" w:hAnsi="仿宋_GB2312" w:eastAsia="仿宋_GB2312" w:cs="仿宋_GB2312"/>
          <w:sz w:val="32"/>
          <w:szCs w:val="32"/>
          <w:shd w:val="clear" w:color="auto" w:fill="FFFFFF"/>
        </w:rPr>
        <w:t>1</w:t>
      </w:r>
      <w:r>
        <w:rPr>
          <w:rFonts w:hint="eastAsia" w:ascii="仿宋_GB2312" w:hAnsi="仿宋_GB2312" w:eastAsia="仿宋_GB2312" w:cs="仿宋_GB2312"/>
          <w:sz w:val="32"/>
          <w:szCs w:val="32"/>
          <w:shd w:val="clear" w:color="auto" w:fill="FFFFFF"/>
          <w:lang w:eastAsia="zh-CN"/>
        </w:rPr>
        <w:t>.区级地方</w:t>
      </w:r>
      <w:r>
        <w:rPr>
          <w:rFonts w:hint="eastAsia" w:ascii="仿宋_GB2312" w:hAnsi="仿宋_GB2312" w:eastAsia="仿宋_GB2312" w:cs="仿宋_GB2312"/>
          <w:sz w:val="32"/>
          <w:szCs w:val="32"/>
          <w:shd w:val="clear" w:color="auto" w:fill="FFFFFF"/>
        </w:rPr>
        <w:t>财力贡献限制。本措施申报主体</w:t>
      </w:r>
      <w:r>
        <w:rPr>
          <w:rFonts w:ascii="仿宋_GB2312" w:hAnsi="仿宋_GB2312" w:eastAsia="仿宋_GB2312" w:cs="仿宋_GB2312"/>
          <w:sz w:val="32"/>
          <w:szCs w:val="32"/>
          <w:shd w:val="clear" w:color="auto" w:fill="FFFFFF"/>
        </w:rPr>
        <w:t>原则上</w:t>
      </w:r>
      <w:r>
        <w:rPr>
          <w:rFonts w:hint="eastAsia" w:ascii="仿宋_GB2312" w:hAnsi="仿宋_GB2312" w:eastAsia="仿宋_GB2312" w:cs="仿宋_GB2312"/>
          <w:sz w:val="32"/>
          <w:szCs w:val="32"/>
          <w:shd w:val="clear" w:color="auto" w:fill="FFFFFF"/>
        </w:rPr>
        <w:t>受《南山区自主创新产业发展专项资金管理办法》规定的“区级地方财力贡献”限制</w:t>
      </w:r>
      <w:r>
        <w:rPr>
          <w:rFonts w:hint="eastAsia" w:ascii="仿宋_GB2312" w:hAnsi="仿宋_GB2312" w:eastAsia="仿宋_GB2312" w:cs="仿宋_GB2312"/>
          <w:color w:val="auto"/>
          <w:sz w:val="32"/>
          <w:szCs w:val="32"/>
          <w:shd w:val="clear" w:color="auto" w:fill="FFFFFF"/>
        </w:rPr>
        <w:t>。</w:t>
      </w:r>
      <w:r>
        <w:rPr>
          <w:rFonts w:ascii="仿宋_GB2312" w:hAnsi="仿宋_GB2312" w:eastAsia="仿宋_GB2312" w:cs="仿宋_GB2312"/>
          <w:color w:val="auto"/>
          <w:sz w:val="32"/>
          <w:szCs w:val="32"/>
          <w:shd w:val="clear" w:color="auto" w:fill="FFFFFF"/>
        </w:rPr>
        <w:t>绿</w:t>
      </w:r>
      <w:r>
        <w:rPr>
          <w:rFonts w:hint="eastAsia" w:ascii="仿宋_GB2312" w:hAnsi="仿宋_GB2312" w:eastAsia="仿宋_GB2312" w:cs="仿宋_GB2312"/>
          <w:color w:val="auto"/>
          <w:sz w:val="32"/>
          <w:szCs w:val="32"/>
          <w:shd w:val="clear" w:color="auto" w:fill="FFFFFF"/>
        </w:rPr>
        <w:t>色低碳企业、绿色低碳产品认证、全过程低碳建设项目、近零碳试点项目、自主碳核查企业、购买绿色电力和公众领域低碳场景除外</w:t>
      </w:r>
      <w:r>
        <w:rPr>
          <w:rFonts w:hint="eastAsia" w:ascii="仿宋_GB2312" w:hAnsi="仿宋_GB2312" w:eastAsia="仿宋_GB2312" w:cs="仿宋_GB2312"/>
          <w:color w:val="FF000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择优支持原则。</w:t>
      </w:r>
      <w:r>
        <w:rPr>
          <w:rFonts w:ascii="仿宋_GB2312" w:hAnsi="仿宋_GB2312" w:eastAsia="仿宋_GB2312" w:cs="仿宋_GB2312"/>
          <w:sz w:val="32"/>
          <w:szCs w:val="32"/>
          <w:shd w:val="clear" w:color="auto" w:fill="FFFFFF"/>
        </w:rPr>
        <w:t>根据年度专项资金总额控制，实行择优支持。单个项目支持金额与资金总额控制相结合，在年度资金总额内统筹安排。</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最高额度原则。</w:t>
      </w:r>
      <w:r>
        <w:rPr>
          <w:rFonts w:ascii="仿宋_GB2312" w:hAnsi="仿宋_GB2312" w:eastAsia="仿宋_GB2312" w:cs="仿宋_GB2312"/>
          <w:sz w:val="32"/>
          <w:szCs w:val="32"/>
          <w:shd w:val="clear" w:color="auto" w:fill="FFFFFF"/>
        </w:rPr>
        <w:t>符合多项</w:t>
      </w:r>
      <w:r>
        <w:rPr>
          <w:rFonts w:hint="eastAsia" w:ascii="仿宋_GB2312" w:hAnsi="仿宋_GB2312" w:eastAsia="仿宋_GB2312" w:cs="仿宋_GB2312"/>
          <w:sz w:val="32"/>
          <w:szCs w:val="32"/>
          <w:shd w:val="clear" w:color="auto" w:fill="FFFFFF"/>
        </w:rPr>
        <w:t>绿色低碳发展扶持</w:t>
      </w:r>
      <w:r>
        <w:rPr>
          <w:rFonts w:ascii="仿宋_GB2312" w:hAnsi="仿宋_GB2312" w:eastAsia="仿宋_GB2312" w:cs="仿宋_GB2312"/>
          <w:sz w:val="32"/>
          <w:szCs w:val="32"/>
          <w:shd w:val="clear" w:color="auto" w:fill="FFFFFF"/>
        </w:rPr>
        <w:t>措施的，</w:t>
      </w:r>
      <w:r>
        <w:rPr>
          <w:rFonts w:hint="eastAsia" w:ascii="仿宋_GB2312" w:hAnsi="仿宋_GB2312" w:eastAsia="仿宋_GB2312" w:cs="仿宋_GB2312"/>
          <w:sz w:val="32"/>
          <w:szCs w:val="32"/>
          <w:shd w:val="clear" w:color="auto" w:fill="FFFFFF"/>
        </w:rPr>
        <w:t>同一企业</w:t>
      </w:r>
      <w:r>
        <w:rPr>
          <w:rFonts w:ascii="仿宋_GB2312" w:hAnsi="仿宋_GB2312" w:eastAsia="仿宋_GB2312" w:cs="仿宋_GB2312"/>
          <w:sz w:val="32"/>
          <w:szCs w:val="32"/>
          <w:shd w:val="clear" w:color="auto" w:fill="FFFFFF"/>
        </w:rPr>
        <w:t>资金上限</w:t>
      </w:r>
      <w:r>
        <w:rPr>
          <w:rFonts w:hint="eastAsia" w:ascii="仿宋_GB2312" w:hAnsi="仿宋_GB2312" w:eastAsia="仿宋_GB2312" w:cs="仿宋_GB2312"/>
          <w:sz w:val="32"/>
          <w:szCs w:val="32"/>
          <w:shd w:val="clear" w:color="auto" w:fill="FFFFFF"/>
        </w:rPr>
        <w:t>1</w:t>
      </w:r>
      <w:r>
        <w:rPr>
          <w:rFonts w:ascii="仿宋_GB2312" w:hAnsi="仿宋_GB2312" w:eastAsia="仿宋_GB2312" w:cs="仿宋_GB2312"/>
          <w:sz w:val="32"/>
          <w:szCs w:val="32"/>
          <w:shd w:val="clear" w:color="auto" w:fill="FFFFFF"/>
        </w:rPr>
        <w:t>5</w:t>
      </w:r>
      <w:r>
        <w:rPr>
          <w:rFonts w:hint="eastAsia" w:ascii="仿宋_GB2312" w:hAnsi="仿宋_GB2312" w:eastAsia="仿宋_GB2312" w:cs="仿宋_GB2312"/>
          <w:sz w:val="32"/>
          <w:szCs w:val="32"/>
          <w:shd w:val="clear" w:color="auto" w:fill="FFFFFF"/>
        </w:rPr>
        <w:t>0万元</w:t>
      </w:r>
      <w:r>
        <w:rPr>
          <w:rFonts w:ascii="仿宋_GB2312" w:hAnsi="仿宋_GB2312" w:eastAsia="仿宋_GB2312" w:cs="仿宋_GB2312"/>
          <w:sz w:val="32"/>
          <w:szCs w:val="32"/>
          <w:shd w:val="clear" w:color="auto" w:fill="FFFFFF"/>
        </w:rPr>
        <w:t>。</w:t>
      </w:r>
    </w:p>
    <w:bookmarkEnd w:id="1476"/>
    <w:bookmarkEnd w:id="1477"/>
    <w:p>
      <w:pPr>
        <w:pStyle w:val="5"/>
        <w:keepNext w:val="0"/>
        <w:keepLines w:val="0"/>
        <w:pageBreakBefore w:val="0"/>
        <w:widowControl w:val="0"/>
        <w:numPr>
          <w:ilvl w:val="-1"/>
          <w:numId w:val="0"/>
        </w:numPr>
        <w:kinsoku/>
        <w:wordWrap/>
        <w:overflowPunct/>
        <w:topLinePunct w:val="0"/>
        <w:autoSpaceDE/>
        <w:autoSpaceDN/>
        <w:bidi w:val="0"/>
        <w:adjustRightInd/>
        <w:snapToGrid/>
        <w:spacing w:before="0" w:beforeAutospacing="0" w:after="0" w:afterAutospacing="0" w:line="560" w:lineRule="exact"/>
        <w:ind w:left="0" w:leftChars="0" w:firstLine="643" w:firstLineChars="200"/>
        <w:textAlignment w:val="auto"/>
        <w:rPr>
          <w:rFonts w:hint="eastAsia" w:ascii="楷体_GB2312" w:hAnsi="楷体_GB2312" w:eastAsia="楷体_GB2312" w:cs="楷体_GB2312"/>
          <w:b/>
          <w:bCs w:val="0"/>
          <w:color w:val="auto"/>
          <w:sz w:val="32"/>
          <w:szCs w:val="24"/>
          <w:highlight w:val="none"/>
          <w:shd w:val="clear" w:color="auto" w:fill="auto"/>
        </w:rPr>
      </w:pPr>
      <w:bookmarkStart w:id="1478" w:name="_Toc891588126"/>
      <w:r>
        <w:rPr>
          <w:rFonts w:hint="eastAsia" w:ascii="楷体_GB2312" w:hAnsi="楷体_GB2312" w:eastAsia="楷体_GB2312" w:cs="楷体_GB2312"/>
          <w:b/>
          <w:bCs w:val="0"/>
          <w:color w:val="auto"/>
          <w:sz w:val="32"/>
          <w:szCs w:val="24"/>
          <w:highlight w:val="none"/>
          <w:shd w:val="clear" w:color="auto" w:fill="auto"/>
          <w:lang w:eastAsia="zh-CN"/>
        </w:rPr>
        <w:t>第四条</w:t>
      </w:r>
      <w:r>
        <w:rPr>
          <w:rFonts w:hint="eastAsia" w:ascii="楷体_GB2312" w:hAnsi="楷体_GB2312" w:eastAsia="楷体_GB2312" w:cs="楷体_GB2312"/>
          <w:b/>
          <w:bCs w:val="0"/>
          <w:color w:val="auto"/>
          <w:sz w:val="32"/>
          <w:szCs w:val="24"/>
          <w:highlight w:val="none"/>
          <w:shd w:val="clear" w:color="auto" w:fill="auto"/>
          <w:lang w:val="en-US" w:eastAsia="zh-CN"/>
        </w:rPr>
        <w:t xml:space="preserve">  </w:t>
      </w:r>
      <w:r>
        <w:rPr>
          <w:rFonts w:hint="eastAsia" w:ascii="楷体_GB2312" w:hAnsi="楷体_GB2312" w:eastAsia="楷体_GB2312" w:cs="楷体_GB2312"/>
          <w:b/>
          <w:bCs w:val="0"/>
          <w:color w:val="auto"/>
          <w:sz w:val="32"/>
          <w:szCs w:val="24"/>
          <w:highlight w:val="none"/>
          <w:shd w:val="clear" w:color="auto" w:fill="auto"/>
        </w:rPr>
        <w:t>支持方式</w:t>
      </w:r>
      <w:bookmarkEnd w:id="1478"/>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本分项资金主要支持方式为项目支持、费用支持和奖励。资金发放方式按以下原则：</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对于</w:t>
      </w:r>
      <w:r>
        <w:rPr>
          <w:rFonts w:hint="eastAsia" w:ascii="仿宋_GB2312" w:hAnsi="仿宋_GB2312" w:eastAsia="仿宋_GB2312" w:cs="仿宋_GB2312"/>
          <w:sz w:val="32"/>
          <w:szCs w:val="32"/>
        </w:rPr>
        <w:t>全过程低碳建设项目</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按评审制方式安排资金</w:t>
      </w:r>
      <w:r>
        <w:rPr>
          <w:rFonts w:ascii="仿宋_GB2312" w:hAnsi="仿宋_GB2312" w:eastAsia="仿宋_GB2312" w:cs="仿宋_GB2312"/>
          <w:sz w:val="32"/>
          <w:szCs w:val="32"/>
        </w:rPr>
        <w:t>，申请单位按规定申报，经主管部门审核、专家评审、依程序审定后予以资助。</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对于</w:t>
      </w:r>
      <w:r>
        <w:rPr>
          <w:rFonts w:hint="eastAsia" w:ascii="仿宋_GB2312" w:hAnsi="仿宋_GB2312" w:eastAsia="仿宋_GB2312" w:cs="仿宋_GB2312"/>
          <w:sz w:val="32"/>
          <w:szCs w:val="32"/>
        </w:rPr>
        <w:t>其他</w:t>
      </w:r>
      <w:r>
        <w:rPr>
          <w:rFonts w:hint="eastAsia" w:ascii="仿宋_GB2312" w:hAnsi="仿宋_GB2312" w:eastAsia="仿宋_GB2312" w:cs="仿宋_GB2312"/>
          <w:sz w:val="32"/>
          <w:szCs w:val="32"/>
          <w:shd w:val="clear" w:color="auto" w:fill="FFFFFF"/>
        </w:rPr>
        <w:t>扶持</w:t>
      </w:r>
      <w:r>
        <w:rPr>
          <w:rFonts w:ascii="仿宋_GB2312" w:hAnsi="仿宋_GB2312" w:eastAsia="仿宋_GB2312" w:cs="仿宋_GB2312"/>
          <w:sz w:val="32"/>
          <w:szCs w:val="32"/>
        </w:rPr>
        <w:t>专项</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按核准制方式安排资金</w:t>
      </w:r>
      <w:r>
        <w:rPr>
          <w:rFonts w:ascii="仿宋_GB2312" w:hAnsi="仿宋_GB2312" w:eastAsia="仿宋_GB2312" w:cs="仿宋_GB2312"/>
          <w:sz w:val="32"/>
          <w:szCs w:val="32"/>
          <w:shd w:val="clear" w:color="auto" w:fill="FFFFFF"/>
        </w:rPr>
        <w:t>，资助对象按</w:t>
      </w:r>
      <w:r>
        <w:rPr>
          <w:rFonts w:ascii="仿宋_GB2312" w:hAnsi="仿宋_GB2312" w:eastAsia="仿宋_GB2312" w:cs="仿宋_GB2312"/>
          <w:sz w:val="32"/>
          <w:szCs w:val="32"/>
        </w:rPr>
        <w:t>规定</w:t>
      </w:r>
      <w:r>
        <w:rPr>
          <w:rFonts w:ascii="仿宋_GB2312" w:hAnsi="仿宋_GB2312" w:eastAsia="仿宋_GB2312" w:cs="仿宋_GB2312"/>
          <w:sz w:val="32"/>
          <w:szCs w:val="32"/>
          <w:shd w:val="clear" w:color="auto" w:fill="FFFFFF"/>
        </w:rPr>
        <w:t>申报，经主管部门审核、依程序审定后予以资助</w:t>
      </w:r>
      <w:r>
        <w:rPr>
          <w:rFonts w:hint="eastAsia" w:ascii="仿宋_GB2312" w:hAnsi="仿宋_GB2312" w:eastAsia="仿宋_GB2312" w:cs="仿宋_GB2312"/>
          <w:sz w:val="32"/>
          <w:szCs w:val="32"/>
          <w:shd w:val="clear" w:color="auto" w:fill="FFFFFF"/>
        </w:rPr>
        <w:t>。</w:t>
      </w:r>
      <w:bookmarkEnd w:id="1454"/>
      <w:bookmarkEnd w:id="1455"/>
      <w:bookmarkEnd w:id="1456"/>
    </w:p>
    <w:bookmarkEnd w:id="1449"/>
    <w:bookmarkEnd w:id="1457"/>
    <w:bookmarkEnd w:id="1458"/>
    <w:bookmarkEnd w:id="1459"/>
    <w:bookmarkEnd w:id="1460"/>
    <w:bookmarkEnd w:id="1461"/>
    <w:bookmarkEnd w:id="1462"/>
    <w:p>
      <w:pPr>
        <w:pStyle w:val="10"/>
        <w:keepNext w:val="0"/>
        <w:keepLines w:val="0"/>
        <w:pageBreakBefore w:val="0"/>
        <w:widowControl w:val="0"/>
        <w:tabs>
          <w:tab w:val="right" w:leader="dot" w:pos="8250"/>
        </w:tabs>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outlineLvl w:val="0"/>
        <w:rPr>
          <w:rFonts w:hint="eastAsia" w:eastAsia="黑体" w:asciiTheme="minorHAnsi" w:hAnsiTheme="minorHAnsi" w:cstheme="minorBidi"/>
          <w:b/>
          <w:bCs/>
          <w:caps w:val="0"/>
          <w:sz w:val="32"/>
          <w:shd w:val="clear"/>
        </w:rPr>
      </w:pPr>
      <w:bookmarkStart w:id="1479" w:name="_Toc27028"/>
      <w:bookmarkStart w:id="1480" w:name="_Toc4951"/>
      <w:bookmarkStart w:id="1481" w:name="_Toc28305"/>
      <w:bookmarkStart w:id="1482" w:name="_Toc21596"/>
      <w:bookmarkStart w:id="1483" w:name="_Toc27918"/>
      <w:bookmarkStart w:id="1484" w:name="_Toc25464"/>
      <w:bookmarkStart w:id="1485" w:name="_Toc11617"/>
      <w:bookmarkStart w:id="1486" w:name="_Toc100245626"/>
      <w:bookmarkStart w:id="1487" w:name="_Toc19201"/>
      <w:bookmarkStart w:id="1488" w:name="_Toc27822"/>
      <w:bookmarkStart w:id="1489" w:name="_Toc91503685"/>
      <w:bookmarkStart w:id="1490" w:name="_Toc6655"/>
      <w:bookmarkStart w:id="1491" w:name="_Toc1025156490"/>
    </w:p>
    <w:p>
      <w:pPr>
        <w:pStyle w:val="10"/>
        <w:keepNext w:val="0"/>
        <w:keepLines w:val="0"/>
        <w:pageBreakBefore w:val="0"/>
        <w:widowControl w:val="0"/>
        <w:tabs>
          <w:tab w:val="right" w:leader="dot" w:pos="8250"/>
        </w:tabs>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outlineLvl w:val="0"/>
        <w:rPr>
          <w:rFonts w:hint="eastAsia" w:eastAsia="黑体" w:asciiTheme="minorHAnsi" w:hAnsiTheme="minorHAnsi" w:cstheme="minorBidi"/>
          <w:b w:val="0"/>
          <w:bCs w:val="0"/>
          <w:caps w:val="0"/>
          <w:sz w:val="32"/>
          <w:shd w:val="clear" w:color="auto" w:fill="FFFFFF"/>
        </w:rPr>
      </w:pPr>
      <w:r>
        <w:rPr>
          <w:rFonts w:hint="eastAsia" w:eastAsia="黑体" w:asciiTheme="minorHAnsi" w:hAnsiTheme="minorHAnsi" w:cstheme="minorBidi"/>
          <w:b w:val="0"/>
          <w:bCs w:val="0"/>
          <w:caps w:val="0"/>
          <w:sz w:val="32"/>
          <w:shd w:val="clear" w:color="auto" w:fill="FFFFFF"/>
        </w:rPr>
        <w:t xml:space="preserve">第二章 </w:t>
      </w:r>
      <w:r>
        <w:rPr>
          <w:rFonts w:hint="eastAsia" w:eastAsia="黑体" w:asciiTheme="minorHAnsi" w:hAnsiTheme="minorHAnsi" w:cstheme="minorBidi"/>
          <w:b w:val="0"/>
          <w:bCs w:val="0"/>
          <w:caps w:val="0"/>
          <w:sz w:val="32"/>
          <w:shd w:val="clear"/>
          <w:lang w:val="en-US" w:eastAsia="zh-CN"/>
        </w:rPr>
        <w:t xml:space="preserve"> </w:t>
      </w:r>
      <w:r>
        <w:rPr>
          <w:rFonts w:hint="eastAsia" w:eastAsia="黑体" w:asciiTheme="minorHAnsi" w:hAnsiTheme="minorHAnsi" w:cstheme="minorBidi"/>
          <w:b w:val="0"/>
          <w:bCs w:val="0"/>
          <w:caps w:val="0"/>
          <w:sz w:val="32"/>
          <w:shd w:val="clear" w:color="auto" w:fill="FFFFFF"/>
        </w:rPr>
        <w:t>支持绿色低碳企业</w:t>
      </w:r>
      <w:bookmarkEnd w:id="1479"/>
      <w:bookmarkEnd w:id="1480"/>
      <w:bookmarkEnd w:id="1481"/>
      <w:bookmarkEnd w:id="1482"/>
      <w:bookmarkEnd w:id="1483"/>
      <w:bookmarkEnd w:id="1484"/>
      <w:bookmarkEnd w:id="1485"/>
      <w:bookmarkEnd w:id="1486"/>
      <w:bookmarkEnd w:id="1487"/>
      <w:bookmarkEnd w:id="1488"/>
      <w:bookmarkEnd w:id="1489"/>
      <w:bookmarkEnd w:id="1490"/>
      <w:r>
        <w:rPr>
          <w:rFonts w:hint="eastAsia" w:eastAsia="黑体" w:asciiTheme="minorHAnsi" w:hAnsiTheme="minorHAnsi" w:cstheme="minorBidi"/>
          <w:b w:val="0"/>
          <w:bCs w:val="0"/>
          <w:caps w:val="0"/>
          <w:sz w:val="32"/>
          <w:shd w:val="clear" w:color="auto" w:fill="FFFFFF"/>
        </w:rPr>
        <w:t>及产品</w:t>
      </w:r>
      <w:bookmarkEnd w:id="1491"/>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textAlignment w:val="auto"/>
        <w:rPr>
          <w:rFonts w:hint="eastAsia" w:ascii="仿宋_GB2312" w:hAnsi="仿宋_GB2312" w:eastAsia="仿宋_GB2312" w:cs="仿宋_GB2312"/>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鼓励满足要求的本区企业和产品按相关程序</w:t>
      </w:r>
      <w:r>
        <w:rPr>
          <w:rFonts w:ascii="仿宋_GB2312" w:hAnsi="仿宋_GB2312" w:eastAsia="仿宋_GB2312" w:cs="仿宋_GB2312"/>
          <w:sz w:val="32"/>
          <w:szCs w:val="32"/>
          <w:shd w:val="clear" w:color="auto" w:fill="FFFFFF"/>
        </w:rPr>
        <w:t>进行</w:t>
      </w:r>
      <w:r>
        <w:rPr>
          <w:rFonts w:hint="eastAsia" w:ascii="仿宋_GB2312" w:hAnsi="仿宋_GB2312" w:eastAsia="仿宋_GB2312" w:cs="仿宋_GB2312"/>
          <w:sz w:val="32"/>
          <w:szCs w:val="32"/>
          <w:shd w:val="clear" w:color="auto" w:fill="FFFFFF"/>
        </w:rPr>
        <w:t>南山区绿色低碳企业及绿色低碳产品认证。</w:t>
      </w:r>
    </w:p>
    <w:p>
      <w:pPr>
        <w:pStyle w:val="5"/>
        <w:keepNext w:val="0"/>
        <w:keepLines w:val="0"/>
        <w:pageBreakBefore w:val="0"/>
        <w:widowControl w:val="0"/>
        <w:numPr>
          <w:ilvl w:val="-1"/>
          <w:numId w:val="0"/>
        </w:numPr>
        <w:kinsoku/>
        <w:wordWrap/>
        <w:overflowPunct/>
        <w:topLinePunct w:val="0"/>
        <w:autoSpaceDE/>
        <w:autoSpaceDN/>
        <w:bidi w:val="0"/>
        <w:adjustRightInd/>
        <w:snapToGrid/>
        <w:spacing w:before="0" w:beforeAutospacing="0" w:after="0" w:afterAutospacing="0" w:line="560" w:lineRule="exact"/>
        <w:ind w:left="0" w:leftChars="0" w:firstLine="643" w:firstLineChars="200"/>
        <w:textAlignment w:val="auto"/>
        <w:rPr>
          <w:rFonts w:hint="eastAsia" w:ascii="楷体_GB2312" w:hAnsi="楷体_GB2312" w:eastAsia="楷体_GB2312" w:cs="楷体_GB2312"/>
          <w:b/>
          <w:bCs w:val="0"/>
          <w:color w:val="auto"/>
          <w:sz w:val="32"/>
          <w:szCs w:val="24"/>
          <w:highlight w:val="none"/>
          <w:shd w:val="clear" w:color="auto" w:fill="auto"/>
        </w:rPr>
      </w:pPr>
      <w:r>
        <w:rPr>
          <w:rFonts w:hint="eastAsia" w:ascii="楷体_GB2312" w:hAnsi="楷体_GB2312" w:eastAsia="楷体_GB2312" w:cs="楷体_GB2312"/>
          <w:b/>
          <w:bCs w:val="0"/>
          <w:color w:val="auto"/>
          <w:sz w:val="32"/>
          <w:szCs w:val="24"/>
          <w:highlight w:val="none"/>
          <w:shd w:val="clear" w:color="auto" w:fill="auto"/>
          <w:lang w:eastAsia="zh-CN"/>
        </w:rPr>
        <w:t>第五条</w:t>
      </w:r>
      <w:r>
        <w:rPr>
          <w:rFonts w:hint="eastAsia" w:ascii="楷体_GB2312" w:hAnsi="楷体_GB2312" w:eastAsia="楷体_GB2312" w:cs="楷体_GB2312"/>
          <w:b/>
          <w:bCs w:val="0"/>
          <w:color w:val="auto"/>
          <w:sz w:val="32"/>
          <w:szCs w:val="24"/>
          <w:highlight w:val="none"/>
          <w:shd w:val="clear" w:color="auto" w:fill="auto"/>
          <w:lang w:val="en-US" w:eastAsia="zh-CN"/>
        </w:rPr>
        <w:t xml:space="preserve">  </w:t>
      </w:r>
      <w:bookmarkStart w:id="1492" w:name="_Toc16464"/>
      <w:bookmarkStart w:id="1493" w:name="_Toc31721"/>
      <w:bookmarkStart w:id="1494" w:name="_Toc6755"/>
      <w:bookmarkStart w:id="1495" w:name="_Toc24091"/>
      <w:bookmarkStart w:id="1496" w:name="_Toc268122578"/>
      <w:r>
        <w:rPr>
          <w:rFonts w:hint="eastAsia" w:ascii="楷体_GB2312" w:hAnsi="楷体_GB2312" w:eastAsia="楷体_GB2312" w:cs="楷体_GB2312"/>
          <w:b/>
          <w:bCs w:val="0"/>
          <w:color w:val="auto"/>
          <w:sz w:val="32"/>
          <w:szCs w:val="24"/>
          <w:highlight w:val="none"/>
          <w:shd w:val="clear" w:color="auto" w:fill="auto"/>
        </w:rPr>
        <w:t>支持南山区绿色低碳企业</w:t>
      </w:r>
      <w:bookmarkEnd w:id="1492"/>
      <w:bookmarkEnd w:id="1493"/>
      <w:bookmarkEnd w:id="1494"/>
      <w:bookmarkEnd w:id="1495"/>
      <w:bookmarkEnd w:id="1496"/>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textAlignment w:val="auto"/>
        <w:rPr>
          <w:rFonts w:ascii="仿宋_GB2312" w:hAnsi="仿宋_GB2312" w:eastAsia="仿宋_GB2312" w:cs="仿宋_GB2312"/>
          <w:sz w:val="32"/>
          <w:szCs w:val="32"/>
          <w:shd w:val="clear" w:color="auto" w:fill="FFFFFF"/>
        </w:rPr>
      </w:pPr>
      <w:r>
        <w:rPr>
          <w:rFonts w:ascii="仿宋_GB2312" w:hAnsi="仿宋_GB2312" w:eastAsia="仿宋_GB2312" w:cs="仿宋_GB2312"/>
          <w:sz w:val="32"/>
          <w:szCs w:val="32"/>
          <w:shd w:val="clear" w:color="auto" w:fill="FFFFFF"/>
        </w:rPr>
        <w:t>对于</w:t>
      </w:r>
      <w:r>
        <w:rPr>
          <w:rFonts w:hint="eastAsia" w:ascii="仿宋_GB2312" w:hAnsi="仿宋_GB2312" w:eastAsia="仿宋_GB2312" w:cs="仿宋_GB2312"/>
          <w:sz w:val="32"/>
          <w:szCs w:val="32"/>
          <w:shd w:val="clear" w:color="auto" w:fill="FFFFFF"/>
        </w:rPr>
        <w:t>依据</w:t>
      </w:r>
      <w:r>
        <w:rPr>
          <w:rFonts w:hint="eastAsia" w:ascii="仿宋_GB2312" w:hAnsi="仿宋_GB2312" w:eastAsia="仿宋_GB2312" w:cs="仿宋_GB2312"/>
          <w:sz w:val="32"/>
          <w:szCs w:val="32"/>
          <w:highlight w:val="none"/>
          <w:shd w:val="clear" w:color="auto" w:fill="FFFFFF"/>
        </w:rPr>
        <w:t>《南山区绿色低碳企业评价细则》</w:t>
      </w:r>
      <w:r>
        <w:rPr>
          <w:rFonts w:hint="eastAsia" w:ascii="仿宋_GB2312" w:hAnsi="仿宋_GB2312" w:eastAsia="仿宋_GB2312" w:cs="仿宋_GB2312"/>
          <w:sz w:val="32"/>
          <w:szCs w:val="32"/>
          <w:shd w:val="clear" w:color="auto" w:fill="FFFFFF"/>
        </w:rPr>
        <w:t>认定</w:t>
      </w:r>
      <w:r>
        <w:rPr>
          <w:rFonts w:ascii="仿宋_GB2312" w:hAnsi="仿宋_GB2312" w:eastAsia="仿宋_GB2312" w:cs="仿宋_GB2312"/>
          <w:sz w:val="32"/>
          <w:szCs w:val="32"/>
          <w:shd w:val="clear" w:color="auto" w:fill="FFFFFF"/>
        </w:rPr>
        <w:t>的</w:t>
      </w:r>
      <w:r>
        <w:rPr>
          <w:rFonts w:hint="eastAsia" w:ascii="仿宋_GB2312" w:hAnsi="仿宋_GB2312" w:eastAsia="仿宋_GB2312" w:cs="仿宋_GB2312"/>
          <w:sz w:val="32"/>
          <w:szCs w:val="32"/>
          <w:shd w:val="clear" w:color="auto" w:fill="FFFFFF"/>
        </w:rPr>
        <w:t>南山区绿色低碳企业，</w:t>
      </w:r>
      <w:r>
        <w:rPr>
          <w:rFonts w:ascii="仿宋_GB2312" w:hAnsi="仿宋_GB2312" w:eastAsia="仿宋_GB2312" w:cs="仿宋_GB2312"/>
          <w:sz w:val="32"/>
          <w:szCs w:val="32"/>
          <w:shd w:val="clear" w:color="auto" w:fill="FFFFFF"/>
        </w:rPr>
        <w:t>且</w:t>
      </w:r>
      <w:r>
        <w:rPr>
          <w:rFonts w:hint="eastAsia" w:ascii="仿宋_GB2312" w:hAnsi="仿宋_GB2312" w:eastAsia="仿宋_GB2312" w:cs="仿宋_GB2312"/>
          <w:sz w:val="32"/>
          <w:szCs w:val="32"/>
          <w:shd w:val="clear" w:color="auto" w:fill="FFFFFF"/>
        </w:rPr>
        <w:t>在南山区绿色低碳企业库（以下简称“企业库”）有效期范围内</w:t>
      </w:r>
      <w:r>
        <w:rPr>
          <w:rFonts w:ascii="仿宋_GB2312" w:hAnsi="仿宋_GB2312" w:eastAsia="仿宋_GB2312" w:cs="仿宋_GB2312"/>
          <w:sz w:val="32"/>
          <w:szCs w:val="32"/>
          <w:shd w:val="clear" w:color="auto" w:fill="FFFFFF"/>
        </w:rPr>
        <w:t>的，</w:t>
      </w:r>
      <w:r>
        <w:rPr>
          <w:rFonts w:hint="eastAsia" w:ascii="仿宋_GB2312" w:hAnsi="仿宋_GB2312" w:eastAsia="仿宋_GB2312" w:cs="仿宋_GB2312"/>
          <w:sz w:val="32"/>
          <w:szCs w:val="32"/>
          <w:shd w:val="clear" w:color="auto" w:fill="FFFFFF"/>
        </w:rPr>
        <w:t>可获得以下政策支持：</w:t>
      </w:r>
    </w:p>
    <w:p>
      <w:pPr>
        <w:pStyle w:val="11"/>
        <w:keepNext w:val="0"/>
        <w:keepLines w:val="0"/>
        <w:pageBreakBefore w:val="0"/>
        <w:widowControl w:val="0"/>
        <w:numPr>
          <w:ilvl w:val="-1"/>
          <w:numId w:val="0"/>
        </w:numPr>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eastAsia="zh-CN"/>
        </w:rPr>
        <w:t>（一）</w:t>
      </w:r>
      <w:r>
        <w:rPr>
          <w:rFonts w:hint="eastAsia" w:ascii="仿宋_GB2312" w:hAnsi="仿宋_GB2312" w:eastAsia="仿宋_GB2312" w:cs="仿宋_GB2312"/>
          <w:sz w:val="32"/>
          <w:szCs w:val="32"/>
          <w:shd w:val="clear" w:color="auto" w:fill="FFFFFF"/>
        </w:rPr>
        <w:t>【一次性</w:t>
      </w:r>
      <w:r>
        <w:rPr>
          <w:rFonts w:ascii="仿宋_GB2312" w:hAnsi="仿宋_GB2312" w:eastAsia="仿宋_GB2312" w:cs="仿宋_GB2312"/>
          <w:sz w:val="32"/>
          <w:szCs w:val="32"/>
          <w:shd w:val="clear" w:color="auto" w:fill="FFFFFF"/>
        </w:rPr>
        <w:t>奖金</w:t>
      </w:r>
      <w:r>
        <w:rPr>
          <w:rFonts w:hint="eastAsia" w:ascii="仿宋_GB2312" w:hAnsi="仿宋_GB2312" w:eastAsia="仿宋_GB2312" w:cs="仿宋_GB2312"/>
          <w:sz w:val="32"/>
          <w:szCs w:val="32"/>
          <w:shd w:val="clear" w:color="auto" w:fill="FFFFFF"/>
        </w:rPr>
        <w:t>】对首次纳入“企业库”的企业，给予一次性30万元奖励。对有效期3年满后，经审查合格继续纳入“企业库”的给予一次性10万元奖励。</w:t>
      </w:r>
    </w:p>
    <w:p>
      <w:pPr>
        <w:pStyle w:val="11"/>
        <w:keepNext w:val="0"/>
        <w:keepLines w:val="0"/>
        <w:pageBreakBefore w:val="0"/>
        <w:widowControl w:val="0"/>
        <w:numPr>
          <w:ilvl w:val="-1"/>
          <w:numId w:val="0"/>
        </w:numPr>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eastAsia="zh-CN"/>
        </w:rPr>
        <w:t>（二）</w:t>
      </w:r>
      <w:r>
        <w:rPr>
          <w:rFonts w:hint="eastAsia" w:ascii="仿宋_GB2312" w:hAnsi="仿宋_GB2312" w:eastAsia="仿宋_GB2312" w:cs="仿宋_GB2312"/>
          <w:sz w:val="32"/>
          <w:szCs w:val="32"/>
          <w:shd w:val="clear" w:color="auto" w:fill="FFFFFF"/>
        </w:rPr>
        <w:t>【认证</w:t>
      </w:r>
      <w:r>
        <w:rPr>
          <w:rFonts w:ascii="仿宋_GB2312" w:hAnsi="仿宋_GB2312" w:eastAsia="仿宋_GB2312" w:cs="仿宋_GB2312"/>
          <w:sz w:val="32"/>
          <w:szCs w:val="32"/>
          <w:shd w:val="clear" w:color="auto" w:fill="FFFFFF"/>
        </w:rPr>
        <w:t>费补贴</w:t>
      </w:r>
      <w:r>
        <w:rPr>
          <w:rFonts w:hint="eastAsia" w:ascii="仿宋_GB2312" w:hAnsi="仿宋_GB2312" w:eastAsia="仿宋_GB2312" w:cs="仿宋_GB2312"/>
          <w:sz w:val="32"/>
          <w:szCs w:val="32"/>
          <w:shd w:val="clear" w:color="auto" w:fill="FFFFFF"/>
        </w:rPr>
        <w:t>】对首次</w:t>
      </w:r>
      <w:r>
        <w:rPr>
          <w:rFonts w:ascii="仿宋_GB2312" w:hAnsi="仿宋_GB2312" w:eastAsia="仿宋_GB2312" w:cs="仿宋_GB2312"/>
          <w:sz w:val="32"/>
          <w:szCs w:val="32"/>
          <w:shd w:val="clear" w:color="auto" w:fill="FFFFFF"/>
        </w:rPr>
        <w:t>纳入</w:t>
      </w:r>
      <w:r>
        <w:rPr>
          <w:rFonts w:hint="eastAsia" w:ascii="仿宋_GB2312" w:hAnsi="仿宋_GB2312" w:eastAsia="仿宋_GB2312" w:cs="仿宋_GB2312"/>
          <w:sz w:val="32"/>
          <w:szCs w:val="32"/>
          <w:shd w:val="clear" w:color="auto" w:fill="FFFFFF"/>
        </w:rPr>
        <w:t>“企业</w:t>
      </w:r>
      <w:r>
        <w:rPr>
          <w:rFonts w:ascii="仿宋_GB2312" w:hAnsi="仿宋_GB2312" w:eastAsia="仿宋_GB2312" w:cs="仿宋_GB2312"/>
          <w:sz w:val="32"/>
          <w:szCs w:val="32"/>
          <w:shd w:val="clear" w:color="auto" w:fill="FFFFFF"/>
        </w:rPr>
        <w:t>库</w:t>
      </w:r>
      <w:r>
        <w:rPr>
          <w:rFonts w:hint="eastAsia" w:ascii="仿宋_GB2312" w:hAnsi="仿宋_GB2312" w:eastAsia="仿宋_GB2312" w:cs="仿宋_GB2312"/>
          <w:sz w:val="32"/>
          <w:szCs w:val="32"/>
          <w:shd w:val="clear" w:color="auto" w:fill="FFFFFF"/>
        </w:rPr>
        <w:t>”的中小微企业，按照实际认证费用给予补贴，最高5万元。</w:t>
      </w:r>
    </w:p>
    <w:p>
      <w:pPr>
        <w:pStyle w:val="11"/>
        <w:keepNext w:val="0"/>
        <w:keepLines w:val="0"/>
        <w:pageBreakBefore w:val="0"/>
        <w:widowControl w:val="0"/>
        <w:numPr>
          <w:ilvl w:val="-1"/>
          <w:numId w:val="0"/>
        </w:numPr>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eastAsia="zh-CN"/>
        </w:rPr>
        <w:t>（三）</w:t>
      </w:r>
      <w:r>
        <w:rPr>
          <w:rFonts w:hint="eastAsia" w:ascii="仿宋_GB2312" w:hAnsi="仿宋_GB2312" w:eastAsia="仿宋_GB2312" w:cs="仿宋_GB2312"/>
          <w:sz w:val="32"/>
          <w:szCs w:val="32"/>
          <w:shd w:val="clear" w:color="auto" w:fill="FFFFFF"/>
        </w:rPr>
        <w:t>【重点行业企业补贴】对首次纳入“企业</w:t>
      </w:r>
      <w:r>
        <w:rPr>
          <w:rFonts w:ascii="仿宋_GB2312" w:hAnsi="仿宋_GB2312" w:eastAsia="仿宋_GB2312" w:cs="仿宋_GB2312"/>
          <w:sz w:val="32"/>
          <w:szCs w:val="32"/>
          <w:shd w:val="clear" w:color="auto" w:fill="FFFFFF"/>
        </w:rPr>
        <w:t>库</w:t>
      </w:r>
      <w:r>
        <w:rPr>
          <w:rFonts w:hint="eastAsia" w:ascii="仿宋_GB2312" w:hAnsi="仿宋_GB2312" w:eastAsia="仿宋_GB2312" w:cs="仿宋_GB2312"/>
          <w:sz w:val="32"/>
          <w:szCs w:val="32"/>
          <w:shd w:val="clear" w:color="auto" w:fill="FFFFFF"/>
        </w:rPr>
        <w:t>”的企业中，属于《深圳市科技创新“十四五”规划》提出的七大战略性新兴产业20大产业集群范畴的，在第1、</w:t>
      </w:r>
      <w:r>
        <w:rPr>
          <w:rFonts w:ascii="仿宋_GB2312" w:hAnsi="仿宋_GB2312" w:eastAsia="仿宋_GB2312" w:cs="仿宋_GB2312"/>
          <w:sz w:val="32"/>
          <w:szCs w:val="32"/>
          <w:shd w:val="clear" w:color="auto" w:fill="FFFFFF"/>
        </w:rPr>
        <w:t>2</w:t>
      </w:r>
      <w:r>
        <w:rPr>
          <w:rFonts w:hint="eastAsia" w:ascii="仿宋_GB2312" w:hAnsi="仿宋_GB2312" w:eastAsia="仿宋_GB2312" w:cs="仿宋_GB2312"/>
          <w:sz w:val="32"/>
          <w:szCs w:val="32"/>
          <w:shd w:val="clear" w:color="auto" w:fill="FFFFFF"/>
        </w:rPr>
        <w:t>项奖励的基础上给予2</w:t>
      </w:r>
      <w:r>
        <w:rPr>
          <w:rFonts w:ascii="仿宋_GB2312" w:hAnsi="仿宋_GB2312" w:eastAsia="仿宋_GB2312" w:cs="仿宋_GB2312"/>
          <w:sz w:val="32"/>
          <w:szCs w:val="32"/>
          <w:shd w:val="clear" w:color="auto" w:fill="FFFFFF"/>
        </w:rPr>
        <w:t>0</w:t>
      </w:r>
      <w:r>
        <w:rPr>
          <w:rFonts w:hint="eastAsia" w:ascii="仿宋_GB2312" w:hAnsi="仿宋_GB2312" w:eastAsia="仿宋_GB2312" w:cs="仿宋_GB2312"/>
          <w:sz w:val="32"/>
          <w:szCs w:val="32"/>
          <w:shd w:val="clear" w:color="auto" w:fill="FFFFFF"/>
        </w:rPr>
        <w:t>万元奖励。</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eastAsia="zh-CN"/>
        </w:rPr>
        <w:t>（四）</w:t>
      </w:r>
      <w:r>
        <w:rPr>
          <w:rFonts w:hint="eastAsia" w:ascii="仿宋_GB2312" w:hAnsi="仿宋_GB2312" w:eastAsia="仿宋_GB2312" w:cs="仿宋_GB2312"/>
          <w:sz w:val="32"/>
          <w:szCs w:val="32"/>
          <w:shd w:val="clear" w:color="auto" w:fill="FFFFFF"/>
        </w:rPr>
        <w:t>【政策扶持】对绿色低碳企业加大融资服务力度，开辟绿色办贷通道、提供优惠利率支持。</w:t>
      </w:r>
    </w:p>
    <w:p>
      <w:pPr>
        <w:pStyle w:val="5"/>
        <w:keepNext w:val="0"/>
        <w:keepLines w:val="0"/>
        <w:pageBreakBefore w:val="0"/>
        <w:widowControl w:val="0"/>
        <w:numPr>
          <w:ilvl w:val="-1"/>
          <w:numId w:val="0"/>
        </w:numPr>
        <w:kinsoku/>
        <w:wordWrap/>
        <w:overflowPunct/>
        <w:topLinePunct w:val="0"/>
        <w:autoSpaceDE/>
        <w:autoSpaceDN/>
        <w:bidi w:val="0"/>
        <w:adjustRightInd/>
        <w:snapToGrid/>
        <w:spacing w:before="0" w:beforeAutospacing="0" w:after="0" w:afterAutospacing="0" w:line="560" w:lineRule="exact"/>
        <w:ind w:left="0" w:leftChars="0" w:firstLine="643" w:firstLineChars="200"/>
        <w:textAlignment w:val="auto"/>
        <w:rPr>
          <w:rFonts w:hint="eastAsia" w:ascii="楷体_GB2312" w:hAnsi="楷体_GB2312" w:eastAsia="楷体_GB2312" w:cs="楷体_GB2312"/>
          <w:b/>
          <w:bCs w:val="0"/>
          <w:color w:val="auto"/>
          <w:sz w:val="32"/>
          <w:szCs w:val="24"/>
          <w:highlight w:val="none"/>
          <w:shd w:val="clear" w:color="auto" w:fill="auto"/>
        </w:rPr>
      </w:pPr>
      <w:bookmarkStart w:id="1497" w:name="_Toc1249363505"/>
      <w:r>
        <w:rPr>
          <w:rFonts w:hint="eastAsia" w:ascii="楷体_GB2312" w:hAnsi="楷体_GB2312" w:eastAsia="楷体_GB2312" w:cs="楷体_GB2312"/>
          <w:b/>
          <w:bCs w:val="0"/>
          <w:color w:val="auto"/>
          <w:sz w:val="32"/>
          <w:szCs w:val="24"/>
          <w:highlight w:val="none"/>
          <w:shd w:val="clear" w:color="auto" w:fill="auto"/>
          <w:lang w:eastAsia="zh-CN"/>
        </w:rPr>
        <w:t>第六条</w:t>
      </w:r>
      <w:r>
        <w:rPr>
          <w:rFonts w:hint="eastAsia" w:ascii="楷体_GB2312" w:hAnsi="楷体_GB2312" w:eastAsia="楷体_GB2312" w:cs="楷体_GB2312"/>
          <w:b/>
          <w:bCs w:val="0"/>
          <w:color w:val="auto"/>
          <w:sz w:val="32"/>
          <w:szCs w:val="24"/>
          <w:highlight w:val="none"/>
          <w:shd w:val="clear" w:color="auto" w:fill="auto"/>
          <w:lang w:val="en-US" w:eastAsia="zh-CN"/>
        </w:rPr>
        <w:t xml:space="preserve">  </w:t>
      </w:r>
      <w:r>
        <w:rPr>
          <w:rFonts w:hint="eastAsia" w:ascii="楷体_GB2312" w:hAnsi="楷体_GB2312" w:eastAsia="楷体_GB2312" w:cs="楷体_GB2312"/>
          <w:b/>
          <w:bCs w:val="0"/>
          <w:color w:val="auto"/>
          <w:sz w:val="32"/>
          <w:szCs w:val="24"/>
          <w:highlight w:val="none"/>
          <w:shd w:val="clear" w:color="auto" w:fill="auto"/>
        </w:rPr>
        <w:t>支持企业绿色低碳产品认证</w:t>
      </w:r>
      <w:bookmarkEnd w:id="1497"/>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0"/>
        <w:jc w:val="center"/>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对于获得国家推行的绿色产品认证、低碳产品认证证书，或依据</w:t>
      </w:r>
      <w:r>
        <w:rPr>
          <w:rFonts w:hint="eastAsia" w:ascii="仿宋_GB2312" w:hAnsi="仿宋_GB2312" w:eastAsia="仿宋_GB2312" w:cs="仿宋_GB2312"/>
          <w:color w:val="auto"/>
          <w:sz w:val="32"/>
          <w:szCs w:val="32"/>
          <w:highlight w:val="none"/>
          <w:shd w:val="clear" w:color="auto" w:fill="FFFFFF"/>
        </w:rPr>
        <w:t>《南山区绿色低碳产品评价</w:t>
      </w:r>
      <w:r>
        <w:rPr>
          <w:rFonts w:hint="eastAsia" w:ascii="仿宋_GB2312" w:hAnsi="仿宋_GB2312" w:eastAsia="仿宋_GB2312" w:cs="仿宋_GB2312"/>
          <w:sz w:val="32"/>
          <w:szCs w:val="32"/>
          <w:highlight w:val="none"/>
          <w:shd w:val="clear" w:color="auto" w:fill="FFFFFF"/>
        </w:rPr>
        <w:t>评价细则</w:t>
      </w:r>
      <w:r>
        <w:rPr>
          <w:rFonts w:hint="eastAsia" w:ascii="仿宋_GB2312" w:hAnsi="仿宋_GB2312" w:eastAsia="仿宋_GB2312" w:cs="仿宋_GB2312"/>
          <w:color w:val="auto"/>
          <w:sz w:val="32"/>
          <w:szCs w:val="32"/>
          <w:highlight w:val="none"/>
          <w:shd w:val="clear" w:color="auto" w:fill="FFFFFF"/>
        </w:rPr>
        <w:t>》</w:t>
      </w:r>
      <w:r>
        <w:rPr>
          <w:rFonts w:hint="eastAsia" w:ascii="仿宋_GB2312" w:hAnsi="仿宋_GB2312" w:eastAsia="仿宋_GB2312" w:cs="仿宋_GB2312"/>
          <w:color w:val="auto"/>
          <w:sz w:val="32"/>
          <w:szCs w:val="32"/>
          <w:shd w:val="clear" w:color="auto" w:fill="FFFFFF"/>
        </w:rPr>
        <w:t>获</w:t>
      </w:r>
      <w:r>
        <w:rPr>
          <w:rFonts w:hint="eastAsia" w:ascii="仿宋_GB2312" w:hAnsi="仿宋_GB2312" w:eastAsia="仿宋_GB2312" w:cs="仿宋_GB2312"/>
          <w:sz w:val="32"/>
          <w:szCs w:val="32"/>
          <w:shd w:val="clear" w:color="auto" w:fill="FFFFFF"/>
        </w:rPr>
        <w:t>得认证证书的，每</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both"/>
        <w:textAlignment w:val="auto"/>
        <w:rPr>
          <w:rFonts w:ascii="黑体" w:hAnsi="黑体" w:eastAsia="黑体" w:cs="黑体"/>
          <w:b w:val="0"/>
          <w:bCs w:val="0"/>
          <w:shd w:val="clear" w:color="auto" w:fill="FFFFFF"/>
        </w:rPr>
      </w:pPr>
      <w:r>
        <w:rPr>
          <w:rFonts w:hint="eastAsia" w:ascii="仿宋_GB2312" w:hAnsi="仿宋_GB2312" w:eastAsia="仿宋_GB2312" w:cs="仿宋_GB2312"/>
          <w:sz w:val="32"/>
          <w:szCs w:val="32"/>
          <w:shd w:val="clear" w:color="auto" w:fill="FFFFFF"/>
        </w:rPr>
        <w:t>张证书给予1</w:t>
      </w:r>
      <w:r>
        <w:rPr>
          <w:rFonts w:ascii="仿宋_GB2312" w:hAnsi="仿宋_GB2312" w:eastAsia="仿宋_GB2312" w:cs="仿宋_GB2312"/>
          <w:sz w:val="32"/>
          <w:szCs w:val="32"/>
          <w:shd w:val="clear" w:color="auto" w:fill="FFFFFF"/>
        </w:rPr>
        <w:t>0</w:t>
      </w:r>
      <w:r>
        <w:rPr>
          <w:rFonts w:hint="eastAsia" w:ascii="仿宋_GB2312" w:hAnsi="仿宋_GB2312" w:eastAsia="仿宋_GB2312" w:cs="仿宋_GB2312"/>
          <w:sz w:val="32"/>
          <w:szCs w:val="32"/>
          <w:shd w:val="clear" w:color="auto" w:fill="FFFFFF"/>
        </w:rPr>
        <w:t>万元奖励，每家企业</w:t>
      </w:r>
      <w:r>
        <w:rPr>
          <w:rFonts w:ascii="仿宋_GB2312" w:hAnsi="仿宋_GB2312" w:eastAsia="仿宋_GB2312" w:cs="仿宋_GB2312"/>
          <w:sz w:val="32"/>
          <w:szCs w:val="32"/>
          <w:shd w:val="clear" w:color="auto" w:fill="FFFFFF"/>
        </w:rPr>
        <w:t>最高30万元</w:t>
      </w:r>
      <w:r>
        <w:rPr>
          <w:rFonts w:hint="eastAsia" w:ascii="仿宋_GB2312" w:hAnsi="仿宋_GB2312" w:eastAsia="仿宋_GB2312" w:cs="仿宋_GB2312"/>
          <w:sz w:val="32"/>
          <w:szCs w:val="32"/>
          <w:shd w:val="clear" w:color="auto" w:fill="FFFFFF"/>
        </w:rPr>
        <w:t>。</w:t>
      </w:r>
      <w:bookmarkStart w:id="1498" w:name="_Toc2009"/>
      <w:bookmarkStart w:id="1499" w:name="_Toc18516"/>
      <w:bookmarkStart w:id="1500" w:name="_Toc4545"/>
      <w:bookmarkStart w:id="1501" w:name="_Toc28086"/>
      <w:bookmarkStart w:id="1502" w:name="_Toc12958"/>
      <w:bookmarkStart w:id="1503" w:name="_Toc20255"/>
      <w:bookmarkStart w:id="1504" w:name="_Toc23863"/>
      <w:bookmarkStart w:id="1505" w:name="_Toc12736"/>
      <w:bookmarkStart w:id="1506" w:name="_Toc2800"/>
      <w:bookmarkStart w:id="1507" w:name="_Toc10030"/>
      <w:bookmarkStart w:id="1508" w:name="_Toc485299053"/>
      <w:bookmarkStart w:id="1509" w:name="_Toc91503691"/>
      <w:bookmarkStart w:id="1510" w:name="_Toc100245628"/>
    </w:p>
    <w:p>
      <w:pPr>
        <w:pStyle w:val="10"/>
        <w:keepNext w:val="0"/>
        <w:keepLines w:val="0"/>
        <w:pageBreakBefore w:val="0"/>
        <w:widowControl w:val="0"/>
        <w:tabs>
          <w:tab w:val="right" w:leader="dot" w:pos="8250"/>
        </w:tabs>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outlineLvl w:val="0"/>
        <w:rPr>
          <w:rFonts w:hint="eastAsia" w:eastAsia="黑体" w:asciiTheme="minorHAnsi" w:hAnsiTheme="minorHAnsi" w:cstheme="minorBidi"/>
          <w:b/>
          <w:bCs/>
          <w:caps w:val="0"/>
          <w:sz w:val="32"/>
          <w:shd w:val="clear"/>
        </w:rPr>
      </w:pPr>
    </w:p>
    <w:p>
      <w:pPr>
        <w:pStyle w:val="10"/>
        <w:keepNext w:val="0"/>
        <w:keepLines w:val="0"/>
        <w:pageBreakBefore w:val="0"/>
        <w:widowControl w:val="0"/>
        <w:tabs>
          <w:tab w:val="right" w:leader="dot" w:pos="8250"/>
        </w:tabs>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outlineLvl w:val="0"/>
        <w:rPr>
          <w:rFonts w:hint="eastAsia" w:eastAsia="黑体" w:asciiTheme="minorHAnsi" w:hAnsiTheme="minorHAnsi" w:cstheme="minorBidi"/>
          <w:b w:val="0"/>
          <w:bCs w:val="0"/>
          <w:caps w:val="0"/>
          <w:sz w:val="32"/>
          <w:shd w:val="clear" w:color="auto" w:fill="FFFFFF"/>
        </w:rPr>
      </w:pPr>
      <w:r>
        <w:rPr>
          <w:rFonts w:hint="eastAsia" w:eastAsia="黑体" w:asciiTheme="minorHAnsi" w:hAnsiTheme="minorHAnsi" w:cstheme="minorBidi"/>
          <w:b w:val="0"/>
          <w:bCs w:val="0"/>
          <w:caps w:val="0"/>
          <w:sz w:val="32"/>
          <w:shd w:val="clear" w:color="auto" w:fill="FFFFFF"/>
        </w:rPr>
        <w:t xml:space="preserve">第三章 </w:t>
      </w:r>
      <w:r>
        <w:rPr>
          <w:rFonts w:hint="eastAsia" w:eastAsia="黑体" w:asciiTheme="minorHAnsi" w:hAnsiTheme="minorHAnsi" w:cstheme="minorBidi"/>
          <w:b w:val="0"/>
          <w:bCs w:val="0"/>
          <w:caps w:val="0"/>
          <w:sz w:val="32"/>
          <w:shd w:val="clear"/>
          <w:lang w:val="en-US" w:eastAsia="zh-CN"/>
        </w:rPr>
        <w:t xml:space="preserve"> </w:t>
      </w:r>
      <w:r>
        <w:rPr>
          <w:rFonts w:hint="eastAsia" w:eastAsia="黑体" w:asciiTheme="minorHAnsi" w:hAnsiTheme="minorHAnsi" w:cstheme="minorBidi"/>
          <w:b w:val="0"/>
          <w:bCs w:val="0"/>
          <w:caps w:val="0"/>
          <w:sz w:val="32"/>
          <w:shd w:val="clear" w:color="auto" w:fill="FFFFFF"/>
        </w:rPr>
        <w:t>支持绿色低碳项目</w:t>
      </w:r>
      <w:bookmarkEnd w:id="1498"/>
      <w:bookmarkEnd w:id="1499"/>
      <w:bookmarkEnd w:id="1500"/>
      <w:bookmarkEnd w:id="1501"/>
      <w:bookmarkEnd w:id="1502"/>
      <w:bookmarkEnd w:id="1503"/>
      <w:bookmarkEnd w:id="1504"/>
      <w:bookmarkEnd w:id="1505"/>
      <w:bookmarkEnd w:id="1506"/>
      <w:bookmarkEnd w:id="1507"/>
      <w:bookmarkEnd w:id="1508"/>
    </w:p>
    <w:p>
      <w:pPr>
        <w:pStyle w:val="5"/>
        <w:keepNext w:val="0"/>
        <w:keepLines w:val="0"/>
        <w:pageBreakBefore w:val="0"/>
        <w:widowControl w:val="0"/>
        <w:numPr>
          <w:ilvl w:val="-1"/>
          <w:numId w:val="0"/>
        </w:numPr>
        <w:kinsoku/>
        <w:wordWrap/>
        <w:overflowPunct/>
        <w:topLinePunct w:val="0"/>
        <w:autoSpaceDE/>
        <w:autoSpaceDN/>
        <w:bidi w:val="0"/>
        <w:adjustRightInd/>
        <w:snapToGrid/>
        <w:spacing w:before="0" w:beforeAutospacing="0" w:after="0" w:afterAutospacing="0" w:line="560" w:lineRule="exact"/>
        <w:ind w:left="0" w:leftChars="0" w:firstLine="0" w:firstLineChars="0"/>
        <w:textAlignment w:val="auto"/>
        <w:rPr>
          <w:rFonts w:hint="eastAsia" w:ascii="楷体_GB2312" w:hAnsi="楷体_GB2312" w:eastAsia="楷体_GB2312" w:cs="楷体_GB2312"/>
          <w:b/>
          <w:bCs w:val="0"/>
          <w:color w:val="auto"/>
          <w:sz w:val="32"/>
          <w:szCs w:val="24"/>
          <w:highlight w:val="none"/>
          <w:shd w:val="clear"/>
          <w:lang w:eastAsia="zh-CN"/>
        </w:rPr>
      </w:pPr>
      <w:bookmarkStart w:id="1511" w:name="_Toc1181589120"/>
      <w:bookmarkStart w:id="1512" w:name="_Toc18883"/>
      <w:bookmarkStart w:id="1513" w:name="_Toc4696"/>
      <w:bookmarkStart w:id="1514" w:name="_Toc7351"/>
      <w:bookmarkStart w:id="1515" w:name="_Toc13710"/>
      <w:bookmarkStart w:id="1516" w:name="_Toc37"/>
      <w:bookmarkStart w:id="1517" w:name="_Toc26362"/>
      <w:bookmarkStart w:id="1518" w:name="_Toc6550"/>
      <w:bookmarkStart w:id="1519" w:name="_Toc4304"/>
      <w:bookmarkStart w:id="1520" w:name="_Toc26650"/>
      <w:bookmarkStart w:id="1521" w:name="_Toc3494"/>
      <w:bookmarkStart w:id="1522" w:name="_Toc2296"/>
      <w:bookmarkStart w:id="1523" w:name="_Toc25089"/>
    </w:p>
    <w:p>
      <w:pPr>
        <w:pStyle w:val="5"/>
        <w:keepNext w:val="0"/>
        <w:keepLines w:val="0"/>
        <w:pageBreakBefore w:val="0"/>
        <w:widowControl w:val="0"/>
        <w:numPr>
          <w:ilvl w:val="-1"/>
          <w:numId w:val="0"/>
        </w:numPr>
        <w:kinsoku/>
        <w:wordWrap/>
        <w:overflowPunct/>
        <w:topLinePunct w:val="0"/>
        <w:autoSpaceDE/>
        <w:autoSpaceDN/>
        <w:bidi w:val="0"/>
        <w:adjustRightInd/>
        <w:snapToGrid/>
        <w:spacing w:before="0" w:beforeAutospacing="0" w:after="0" w:afterAutospacing="0" w:line="560" w:lineRule="exact"/>
        <w:ind w:left="0" w:leftChars="0" w:firstLine="643" w:firstLineChars="200"/>
        <w:textAlignment w:val="auto"/>
        <w:rPr>
          <w:rFonts w:hint="eastAsia" w:ascii="楷体_GB2312" w:hAnsi="楷体_GB2312" w:eastAsia="楷体_GB2312" w:cs="楷体_GB2312"/>
          <w:b/>
          <w:bCs w:val="0"/>
          <w:color w:val="auto"/>
          <w:sz w:val="32"/>
          <w:szCs w:val="24"/>
          <w:highlight w:val="none"/>
          <w:shd w:val="clear" w:color="auto" w:fill="auto"/>
        </w:rPr>
      </w:pPr>
      <w:r>
        <w:rPr>
          <w:rFonts w:hint="eastAsia" w:ascii="楷体_GB2312" w:hAnsi="楷体_GB2312" w:eastAsia="楷体_GB2312" w:cs="楷体_GB2312"/>
          <w:b/>
          <w:bCs w:val="0"/>
          <w:color w:val="auto"/>
          <w:sz w:val="32"/>
          <w:szCs w:val="24"/>
          <w:highlight w:val="none"/>
          <w:shd w:val="clear" w:color="auto" w:fill="auto"/>
          <w:lang w:eastAsia="zh-CN"/>
        </w:rPr>
        <w:t>第七条</w:t>
      </w:r>
      <w:r>
        <w:rPr>
          <w:rFonts w:hint="eastAsia" w:ascii="楷体_GB2312" w:hAnsi="楷体_GB2312" w:eastAsia="楷体_GB2312" w:cs="楷体_GB2312"/>
          <w:b/>
          <w:bCs w:val="0"/>
          <w:color w:val="auto"/>
          <w:sz w:val="32"/>
          <w:szCs w:val="24"/>
          <w:highlight w:val="none"/>
          <w:shd w:val="clear" w:color="auto" w:fill="auto"/>
          <w:lang w:val="en-US" w:eastAsia="zh-CN"/>
        </w:rPr>
        <w:t xml:space="preserve">  </w:t>
      </w:r>
      <w:r>
        <w:rPr>
          <w:rFonts w:hint="eastAsia" w:ascii="楷体_GB2312" w:hAnsi="楷体_GB2312" w:eastAsia="楷体_GB2312" w:cs="楷体_GB2312"/>
          <w:b/>
          <w:bCs w:val="0"/>
          <w:color w:val="auto"/>
          <w:sz w:val="32"/>
          <w:szCs w:val="24"/>
          <w:highlight w:val="none"/>
          <w:shd w:val="clear" w:color="auto" w:fill="auto"/>
        </w:rPr>
        <w:t>支持全过程低碳建设项目</w:t>
      </w:r>
      <w:bookmarkEnd w:id="1511"/>
      <w:bookmarkEnd w:id="1512"/>
      <w:bookmarkEnd w:id="1513"/>
      <w:bookmarkEnd w:id="1514"/>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textAlignment w:val="auto"/>
      </w:pPr>
      <w:r>
        <w:rPr>
          <w:rFonts w:hint="eastAsia" w:ascii="仿宋_GB2312" w:hAnsi="仿宋_GB2312" w:eastAsia="仿宋_GB2312" w:cs="仿宋_GB2312"/>
          <w:sz w:val="32"/>
          <w:szCs w:val="32"/>
          <w:shd w:val="clear" w:color="auto" w:fill="FFFFFF"/>
        </w:rPr>
        <w:t>对于达到《</w:t>
      </w:r>
      <w:r>
        <w:rPr>
          <w:rFonts w:hint="eastAsia" w:ascii="仿宋_GB2312" w:hAnsi="仿宋_GB2312" w:eastAsia="仿宋_GB2312" w:cs="仿宋_GB2312"/>
          <w:bCs/>
          <w:sz w:val="32"/>
          <w:szCs w:val="32"/>
          <w:shd w:val="clear" w:color="auto" w:fill="FFFFFF"/>
        </w:rPr>
        <w:t>南山区政府投资类建设项目落实碳排放全过程管理实施指引</w:t>
      </w:r>
      <w:r>
        <w:rPr>
          <w:rFonts w:hint="eastAsia" w:ascii="仿宋_GB2312" w:hAnsi="仿宋_GB2312" w:eastAsia="仿宋_GB2312" w:cs="仿宋_GB2312"/>
          <w:sz w:val="32"/>
          <w:szCs w:val="32"/>
          <w:shd w:val="clear" w:color="auto" w:fill="FFFFFF"/>
        </w:rPr>
        <w:t>》要求的</w:t>
      </w:r>
      <w:r>
        <w:rPr>
          <w:rFonts w:hint="eastAsia" w:ascii="仿宋_GB2312" w:hAnsi="仿宋_GB2312" w:eastAsia="仿宋_GB2312" w:cs="仿宋_GB2312"/>
          <w:bCs/>
          <w:sz w:val="32"/>
          <w:szCs w:val="32"/>
          <w:shd w:val="clear" w:color="auto" w:fill="FFFFFF"/>
        </w:rPr>
        <w:t>社会投资类建设项目</w:t>
      </w:r>
      <w:r>
        <w:rPr>
          <w:rFonts w:hint="eastAsia" w:ascii="仿宋_GB2312" w:hAnsi="仿宋_GB2312" w:eastAsia="仿宋_GB2312" w:cs="仿宋_GB2312"/>
          <w:sz w:val="32"/>
          <w:szCs w:val="32"/>
          <w:shd w:val="clear" w:color="auto" w:fill="FFFFFF"/>
        </w:rPr>
        <w:t>，</w:t>
      </w:r>
      <w:r>
        <w:rPr>
          <w:rFonts w:ascii="仿宋_GB2312" w:hAnsi="仿宋_GB2312" w:eastAsia="仿宋_GB2312" w:cs="仿宋_GB2312"/>
          <w:sz w:val="32"/>
          <w:szCs w:val="32"/>
          <w:shd w:val="clear" w:color="auto" w:fill="FFFFFF"/>
        </w:rPr>
        <w:t>且</w:t>
      </w:r>
      <w:r>
        <w:rPr>
          <w:rFonts w:hint="eastAsia" w:ascii="仿宋_GB2312" w:hAnsi="仿宋_GB2312" w:eastAsia="仿宋_GB2312" w:cs="仿宋_GB2312"/>
          <w:sz w:val="32"/>
          <w:szCs w:val="32"/>
          <w:shd w:val="clear" w:color="auto" w:fill="FFFFFF"/>
        </w:rPr>
        <w:t>项目验收完成1年后，按照项目实际建安工程费用</w:t>
      </w:r>
      <w:r>
        <w:rPr>
          <w:rFonts w:hint="eastAsia" w:ascii="仿宋_GB2312" w:hAnsi="仿宋_GB2312" w:eastAsia="仿宋_GB2312" w:cs="仿宋_GB2312"/>
          <w:bCs/>
          <w:sz w:val="32"/>
          <w:szCs w:val="32"/>
          <w:shd w:val="clear" w:color="auto" w:fill="FFFFFF"/>
        </w:rPr>
        <w:t>的4%</w:t>
      </w:r>
      <w:r>
        <w:rPr>
          <w:rFonts w:hint="eastAsia" w:ascii="仿宋_GB2312" w:hAnsi="仿宋_GB2312" w:eastAsia="仿宋_GB2312" w:cs="仿宋_GB2312"/>
          <w:sz w:val="32"/>
          <w:szCs w:val="32"/>
          <w:shd w:val="clear" w:color="auto" w:fill="FFFFFF"/>
        </w:rPr>
        <w:t>给予项目</w:t>
      </w:r>
      <w:r>
        <w:rPr>
          <w:rFonts w:ascii="仿宋_GB2312" w:hAnsi="仿宋_GB2312" w:eastAsia="仿宋_GB2312" w:cs="仿宋_GB2312"/>
          <w:sz w:val="32"/>
          <w:szCs w:val="32"/>
          <w:shd w:val="clear" w:color="auto" w:fill="FFFFFF"/>
        </w:rPr>
        <w:t>补贴</w:t>
      </w:r>
      <w:r>
        <w:rPr>
          <w:rFonts w:hint="eastAsia" w:ascii="仿宋_GB2312" w:hAnsi="仿宋_GB2312" w:eastAsia="仿宋_GB2312" w:cs="仿宋_GB2312"/>
          <w:sz w:val="32"/>
          <w:szCs w:val="32"/>
          <w:shd w:val="clear" w:color="auto" w:fill="FFFFFF"/>
        </w:rPr>
        <w:t>，</w:t>
      </w:r>
      <w:r>
        <w:rPr>
          <w:rFonts w:ascii="仿宋_GB2312" w:hAnsi="仿宋_GB2312" w:eastAsia="仿宋_GB2312" w:cs="仿宋_GB2312"/>
          <w:sz w:val="32"/>
          <w:szCs w:val="32"/>
          <w:shd w:val="clear" w:color="auto" w:fill="FFFFFF"/>
        </w:rPr>
        <w:t>每</w:t>
      </w:r>
      <w:r>
        <w:rPr>
          <w:rFonts w:hint="eastAsia" w:ascii="仿宋_GB2312" w:hAnsi="仿宋_GB2312" w:eastAsia="仿宋_GB2312" w:cs="仿宋_GB2312"/>
          <w:sz w:val="32"/>
          <w:szCs w:val="32"/>
          <w:shd w:val="clear" w:color="auto" w:fill="FFFFFF"/>
        </w:rPr>
        <w:t>个项目</w:t>
      </w:r>
      <w:r>
        <w:rPr>
          <w:rFonts w:hint="eastAsia" w:ascii="仿宋_GB2312" w:hAnsi="仿宋_GB2312" w:eastAsia="仿宋_GB2312" w:cs="仿宋_GB2312"/>
          <w:bCs/>
          <w:sz w:val="32"/>
          <w:szCs w:val="32"/>
          <w:shd w:val="clear" w:color="auto" w:fill="FFFFFF"/>
        </w:rPr>
        <w:t>最高100万元</w:t>
      </w:r>
      <w:r>
        <w:rPr>
          <w:rFonts w:hint="eastAsia" w:ascii="仿宋_GB2312" w:hAnsi="仿宋_GB2312" w:eastAsia="仿宋_GB2312" w:cs="仿宋_GB2312"/>
          <w:sz w:val="32"/>
          <w:szCs w:val="32"/>
          <w:shd w:val="clear" w:color="auto" w:fill="FFFFFF"/>
        </w:rPr>
        <w:t>。</w:t>
      </w:r>
      <w:bookmarkEnd w:id="1515"/>
      <w:bookmarkEnd w:id="1516"/>
      <w:bookmarkEnd w:id="1517"/>
      <w:bookmarkEnd w:id="1518"/>
      <w:bookmarkEnd w:id="1519"/>
      <w:bookmarkEnd w:id="1520"/>
      <w:bookmarkEnd w:id="1521"/>
      <w:bookmarkEnd w:id="1522"/>
      <w:bookmarkEnd w:id="1523"/>
    </w:p>
    <w:p>
      <w:pPr>
        <w:pStyle w:val="5"/>
        <w:keepNext w:val="0"/>
        <w:keepLines w:val="0"/>
        <w:pageBreakBefore w:val="0"/>
        <w:widowControl w:val="0"/>
        <w:numPr>
          <w:ilvl w:val="-1"/>
          <w:numId w:val="0"/>
        </w:numPr>
        <w:kinsoku/>
        <w:wordWrap/>
        <w:overflowPunct/>
        <w:topLinePunct w:val="0"/>
        <w:autoSpaceDE/>
        <w:autoSpaceDN/>
        <w:bidi w:val="0"/>
        <w:adjustRightInd/>
        <w:snapToGrid/>
        <w:spacing w:before="0" w:beforeAutospacing="0" w:after="0" w:afterAutospacing="0" w:line="560" w:lineRule="exact"/>
        <w:ind w:left="0" w:leftChars="0" w:firstLine="643" w:firstLineChars="200"/>
        <w:textAlignment w:val="auto"/>
        <w:rPr>
          <w:rFonts w:hint="eastAsia" w:ascii="楷体_GB2312" w:hAnsi="楷体_GB2312" w:eastAsia="楷体_GB2312" w:cs="楷体_GB2312"/>
          <w:b/>
          <w:bCs w:val="0"/>
          <w:color w:val="auto"/>
          <w:sz w:val="32"/>
          <w:szCs w:val="24"/>
          <w:highlight w:val="none"/>
          <w:shd w:val="clear" w:color="auto" w:fill="auto"/>
        </w:rPr>
      </w:pPr>
      <w:bookmarkStart w:id="1524" w:name="_Toc17915"/>
      <w:bookmarkStart w:id="1525" w:name="_Toc16064"/>
      <w:bookmarkStart w:id="1526" w:name="_Toc8248"/>
      <w:bookmarkStart w:id="1527" w:name="_Toc20853"/>
      <w:bookmarkStart w:id="1528" w:name="_Toc1447211662"/>
      <w:bookmarkStart w:id="1529" w:name="_Toc24947"/>
      <w:bookmarkStart w:id="1530" w:name="_Toc28393"/>
      <w:bookmarkStart w:id="1531" w:name="_Toc11100"/>
      <w:bookmarkStart w:id="1532" w:name="_Toc14609"/>
      <w:bookmarkStart w:id="1533" w:name="_Toc14764"/>
      <w:bookmarkStart w:id="1534" w:name="_Toc19362"/>
      <w:bookmarkStart w:id="1535" w:name="_Toc25403"/>
      <w:r>
        <w:rPr>
          <w:rFonts w:hint="eastAsia" w:ascii="楷体_GB2312" w:hAnsi="楷体_GB2312" w:eastAsia="楷体_GB2312" w:cs="楷体_GB2312"/>
          <w:b/>
          <w:bCs w:val="0"/>
          <w:color w:val="auto"/>
          <w:sz w:val="32"/>
          <w:szCs w:val="24"/>
          <w:highlight w:val="none"/>
          <w:shd w:val="clear" w:color="auto" w:fill="auto"/>
          <w:lang w:eastAsia="zh-CN"/>
        </w:rPr>
        <w:t>第八条</w:t>
      </w:r>
      <w:r>
        <w:rPr>
          <w:rFonts w:hint="eastAsia" w:ascii="楷体_GB2312" w:hAnsi="楷体_GB2312" w:eastAsia="楷体_GB2312" w:cs="楷体_GB2312"/>
          <w:b/>
          <w:bCs w:val="0"/>
          <w:color w:val="auto"/>
          <w:sz w:val="32"/>
          <w:szCs w:val="24"/>
          <w:highlight w:val="none"/>
          <w:shd w:val="clear" w:color="auto" w:fill="auto"/>
          <w:lang w:val="en-US" w:eastAsia="zh-CN"/>
        </w:rPr>
        <w:t xml:space="preserve">  </w:t>
      </w:r>
      <w:r>
        <w:rPr>
          <w:rFonts w:hint="eastAsia" w:ascii="楷体_GB2312" w:hAnsi="楷体_GB2312" w:eastAsia="楷体_GB2312" w:cs="楷体_GB2312"/>
          <w:b/>
          <w:bCs w:val="0"/>
          <w:color w:val="auto"/>
          <w:sz w:val="32"/>
          <w:szCs w:val="24"/>
          <w:highlight w:val="none"/>
          <w:shd w:val="clear" w:color="auto" w:fill="auto"/>
        </w:rPr>
        <w:t>支持近零碳试点项目</w:t>
      </w:r>
      <w:bookmarkEnd w:id="1524"/>
      <w:bookmarkEnd w:id="1525"/>
      <w:bookmarkEnd w:id="1526"/>
      <w:bookmarkEnd w:id="1527"/>
      <w:bookmarkEnd w:id="1528"/>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textAlignment w:val="auto"/>
        <w:rPr>
          <w:rFonts w:ascii="仿宋_GB2312" w:hAnsi="仿宋_GB2312" w:eastAsia="仿宋_GB2312" w:cs="仿宋_GB2312"/>
          <w:sz w:val="32"/>
          <w:szCs w:val="32"/>
          <w:shd w:val="clear" w:color="auto" w:fill="FFFFFF"/>
        </w:rPr>
      </w:pPr>
      <w:r>
        <w:rPr>
          <w:rFonts w:ascii="仿宋_GB2312" w:hAnsi="仿宋_GB2312" w:eastAsia="仿宋_GB2312" w:cs="仿宋_GB2312"/>
          <w:sz w:val="32"/>
          <w:szCs w:val="32"/>
          <w:shd w:val="clear" w:color="auto" w:fill="FFFFFF"/>
        </w:rPr>
        <w:t>对于</w:t>
      </w:r>
      <w:r>
        <w:rPr>
          <w:rFonts w:hint="eastAsia" w:ascii="仿宋_GB2312" w:hAnsi="仿宋_GB2312" w:eastAsia="仿宋_GB2312" w:cs="仿宋_GB2312"/>
          <w:sz w:val="32"/>
          <w:szCs w:val="32"/>
          <w:shd w:val="clear" w:color="auto" w:fill="FFFFFF"/>
        </w:rPr>
        <w:t>区内积极开展近零碳试点</w:t>
      </w:r>
      <w:r>
        <w:rPr>
          <w:rFonts w:ascii="仿宋_GB2312" w:hAnsi="仿宋_GB2312" w:eastAsia="仿宋_GB2312" w:cs="仿宋_GB2312"/>
          <w:sz w:val="32"/>
          <w:szCs w:val="32"/>
          <w:shd w:val="clear" w:color="auto" w:fill="FFFFFF"/>
        </w:rPr>
        <w:t>建设，</w:t>
      </w:r>
      <w:r>
        <w:rPr>
          <w:rFonts w:hint="eastAsia" w:ascii="仿宋_GB2312" w:hAnsi="仿宋_GB2312" w:eastAsia="仿宋_GB2312" w:cs="仿宋_GB2312"/>
          <w:sz w:val="32"/>
          <w:szCs w:val="32"/>
          <w:shd w:val="clear" w:color="auto" w:fill="FFFFFF"/>
        </w:rPr>
        <w:t>且</w:t>
      </w:r>
      <w:r>
        <w:rPr>
          <w:rFonts w:ascii="仿宋_GB2312" w:hAnsi="仿宋_GB2312" w:eastAsia="仿宋_GB2312" w:cs="仿宋_GB2312"/>
          <w:sz w:val="32"/>
          <w:szCs w:val="32"/>
          <w:shd w:val="clear" w:color="auto" w:fill="FFFFFF"/>
        </w:rPr>
        <w:t>获得</w:t>
      </w:r>
      <w:r>
        <w:rPr>
          <w:rFonts w:hint="eastAsia" w:ascii="仿宋_GB2312" w:hAnsi="仿宋_GB2312" w:eastAsia="仿宋_GB2312" w:cs="仿宋_GB2312"/>
          <w:sz w:val="32"/>
          <w:szCs w:val="32"/>
          <w:shd w:val="clear" w:color="auto" w:fill="FFFFFF"/>
        </w:rPr>
        <w:t>市级</w:t>
      </w:r>
      <w:r>
        <w:rPr>
          <w:rFonts w:ascii="仿宋_GB2312" w:hAnsi="仿宋_GB2312" w:eastAsia="仿宋_GB2312" w:cs="仿宋_GB2312"/>
          <w:sz w:val="32"/>
          <w:szCs w:val="32"/>
          <w:shd w:val="clear" w:color="auto" w:fill="FFFFFF"/>
        </w:rPr>
        <w:t>及</w:t>
      </w:r>
      <w:r>
        <w:rPr>
          <w:rFonts w:hint="eastAsia" w:ascii="仿宋_GB2312" w:hAnsi="仿宋_GB2312" w:eastAsia="仿宋_GB2312" w:cs="仿宋_GB2312"/>
          <w:sz w:val="32"/>
          <w:szCs w:val="32"/>
          <w:shd w:val="clear" w:color="auto" w:fill="FFFFFF"/>
        </w:rPr>
        <w:t>以上生态环境部门授予</w:t>
      </w:r>
      <w:r>
        <w:rPr>
          <w:rFonts w:ascii="仿宋_GB2312" w:hAnsi="仿宋_GB2312" w:eastAsia="仿宋_GB2312" w:cs="仿宋_GB2312"/>
          <w:sz w:val="32"/>
          <w:szCs w:val="32"/>
          <w:shd w:val="clear" w:color="auto" w:fill="FFFFFF"/>
        </w:rPr>
        <w:t>的</w:t>
      </w:r>
      <w:r>
        <w:rPr>
          <w:rFonts w:hint="eastAsia" w:ascii="仿宋_GB2312" w:hAnsi="仿宋_GB2312" w:eastAsia="仿宋_GB2312" w:cs="仿宋_GB2312"/>
          <w:sz w:val="32"/>
          <w:szCs w:val="32"/>
          <w:shd w:val="clear" w:color="auto" w:fill="FFFFFF"/>
        </w:rPr>
        <w:t>近零碳排放称号6个月</w:t>
      </w:r>
      <w:r>
        <w:rPr>
          <w:rFonts w:ascii="仿宋_GB2312" w:hAnsi="仿宋_GB2312" w:eastAsia="仿宋_GB2312" w:cs="仿宋_GB2312"/>
          <w:sz w:val="32"/>
          <w:szCs w:val="32"/>
          <w:shd w:val="clear" w:color="auto" w:fill="FFFFFF"/>
        </w:rPr>
        <w:t>以上的项目，</w:t>
      </w:r>
      <w:r>
        <w:rPr>
          <w:rFonts w:hint="eastAsia" w:ascii="仿宋_GB2312" w:hAnsi="仿宋_GB2312" w:eastAsia="仿宋_GB2312" w:cs="仿宋_GB2312"/>
          <w:sz w:val="32"/>
          <w:szCs w:val="32"/>
          <w:shd w:val="clear" w:color="auto" w:fill="FFFFFF"/>
        </w:rPr>
        <w:t>按照试点项目总投资额的10%给予一次性奖励，</w:t>
      </w:r>
      <w:r>
        <w:rPr>
          <w:rFonts w:ascii="仿宋_GB2312" w:hAnsi="仿宋_GB2312" w:eastAsia="仿宋_GB2312" w:cs="仿宋_GB2312"/>
          <w:sz w:val="32"/>
          <w:szCs w:val="32"/>
          <w:shd w:val="clear" w:color="auto" w:fill="FFFFFF"/>
        </w:rPr>
        <w:t>每个项目</w:t>
      </w:r>
      <w:r>
        <w:rPr>
          <w:rFonts w:hint="eastAsia" w:ascii="仿宋_GB2312" w:hAnsi="仿宋_GB2312" w:eastAsia="仿宋_GB2312" w:cs="仿宋_GB2312"/>
          <w:sz w:val="32"/>
          <w:szCs w:val="32"/>
          <w:shd w:val="clear" w:color="auto" w:fill="FFFFFF"/>
        </w:rPr>
        <w:t>最高</w:t>
      </w:r>
      <w:r>
        <w:rPr>
          <w:rFonts w:ascii="仿宋_GB2312" w:hAnsi="仿宋_GB2312" w:eastAsia="仿宋_GB2312" w:cs="仿宋_GB2312"/>
          <w:sz w:val="32"/>
          <w:szCs w:val="32"/>
          <w:shd w:val="clear" w:color="auto" w:fill="FFFFFF"/>
        </w:rPr>
        <w:t>5</w:t>
      </w:r>
      <w:r>
        <w:rPr>
          <w:rFonts w:hint="eastAsia" w:ascii="仿宋_GB2312" w:hAnsi="仿宋_GB2312" w:eastAsia="仿宋_GB2312" w:cs="仿宋_GB2312"/>
          <w:sz w:val="32"/>
          <w:szCs w:val="32"/>
          <w:shd w:val="clear" w:color="auto" w:fill="FFFFFF"/>
        </w:rPr>
        <w:t>0万元。</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0" w:firstLineChars="0"/>
        <w:textAlignment w:val="auto"/>
        <w:rPr>
          <w:rFonts w:ascii="仿宋_GB2312" w:hAnsi="仿宋_GB2312" w:eastAsia="仿宋_GB2312" w:cs="仿宋_GB2312"/>
          <w:sz w:val="32"/>
          <w:szCs w:val="32"/>
          <w:shd w:val="clear" w:color="auto" w:fill="FFFFFF"/>
        </w:rPr>
      </w:pPr>
    </w:p>
    <w:bookmarkEnd w:id="1529"/>
    <w:bookmarkEnd w:id="1530"/>
    <w:bookmarkEnd w:id="1531"/>
    <w:bookmarkEnd w:id="1532"/>
    <w:bookmarkEnd w:id="1533"/>
    <w:bookmarkEnd w:id="1534"/>
    <w:bookmarkEnd w:id="1535"/>
    <w:p>
      <w:pPr>
        <w:pStyle w:val="10"/>
        <w:keepNext w:val="0"/>
        <w:keepLines w:val="0"/>
        <w:pageBreakBefore w:val="0"/>
        <w:widowControl w:val="0"/>
        <w:tabs>
          <w:tab w:val="right" w:leader="dot" w:pos="8250"/>
        </w:tabs>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outlineLvl w:val="0"/>
        <w:rPr>
          <w:rFonts w:hint="eastAsia" w:eastAsia="黑体" w:asciiTheme="minorHAnsi" w:hAnsiTheme="minorHAnsi" w:cstheme="minorBidi"/>
          <w:b w:val="0"/>
          <w:bCs w:val="0"/>
          <w:caps w:val="0"/>
          <w:sz w:val="32"/>
          <w:shd w:val="clear" w:color="auto" w:fill="FFFFFF"/>
        </w:rPr>
      </w:pPr>
      <w:bookmarkStart w:id="1536" w:name="_Toc13598"/>
      <w:bookmarkStart w:id="1537" w:name="_Toc554"/>
      <w:bookmarkStart w:id="1538" w:name="_Toc8405"/>
      <w:bookmarkStart w:id="1539" w:name="_Toc23651"/>
      <w:bookmarkStart w:id="1540" w:name="_Toc21216"/>
      <w:bookmarkStart w:id="1541" w:name="_Toc30194"/>
      <w:bookmarkStart w:id="1542" w:name="_Toc12057"/>
      <w:bookmarkStart w:id="1543" w:name="_Toc29600"/>
      <w:bookmarkStart w:id="1544" w:name="_Toc1425"/>
      <w:bookmarkStart w:id="1545" w:name="_Toc1969134371"/>
      <w:r>
        <w:rPr>
          <w:rFonts w:hint="eastAsia" w:eastAsia="黑体" w:asciiTheme="minorHAnsi" w:hAnsiTheme="minorHAnsi" w:cstheme="minorBidi"/>
          <w:b w:val="0"/>
          <w:bCs w:val="0"/>
          <w:caps w:val="0"/>
          <w:sz w:val="32"/>
          <w:shd w:val="clear" w:color="auto" w:fill="FFFFFF"/>
        </w:rPr>
        <w:t xml:space="preserve">第四章 </w:t>
      </w:r>
      <w:r>
        <w:rPr>
          <w:rFonts w:hint="eastAsia" w:eastAsia="黑体" w:asciiTheme="minorHAnsi" w:hAnsiTheme="minorHAnsi" w:cstheme="minorBidi"/>
          <w:b w:val="0"/>
          <w:bCs w:val="0"/>
          <w:caps w:val="0"/>
          <w:sz w:val="32"/>
          <w:shd w:val="clear"/>
          <w:lang w:val="en-US" w:eastAsia="zh-CN"/>
        </w:rPr>
        <w:t xml:space="preserve"> </w:t>
      </w:r>
      <w:r>
        <w:rPr>
          <w:rFonts w:hint="eastAsia" w:eastAsia="黑体" w:asciiTheme="minorHAnsi" w:hAnsiTheme="minorHAnsi" w:cstheme="minorBidi"/>
          <w:b w:val="0"/>
          <w:bCs w:val="0"/>
          <w:caps w:val="0"/>
          <w:sz w:val="32"/>
          <w:shd w:val="clear" w:color="auto" w:fill="FFFFFF"/>
        </w:rPr>
        <w:t>支持绿色低碳</w:t>
      </w:r>
      <w:bookmarkEnd w:id="1509"/>
      <w:bookmarkEnd w:id="1510"/>
      <w:bookmarkEnd w:id="1536"/>
      <w:bookmarkEnd w:id="1537"/>
      <w:bookmarkEnd w:id="1538"/>
      <w:bookmarkEnd w:id="1539"/>
      <w:bookmarkEnd w:id="1540"/>
      <w:bookmarkEnd w:id="1541"/>
      <w:bookmarkEnd w:id="1542"/>
      <w:bookmarkEnd w:id="1543"/>
      <w:bookmarkEnd w:id="1544"/>
      <w:r>
        <w:rPr>
          <w:rFonts w:hint="eastAsia" w:eastAsia="黑体" w:asciiTheme="minorHAnsi" w:hAnsiTheme="minorHAnsi" w:cstheme="minorBidi"/>
          <w:b w:val="0"/>
          <w:bCs w:val="0"/>
          <w:caps w:val="0"/>
          <w:sz w:val="32"/>
          <w:shd w:val="clear" w:color="auto" w:fill="FFFFFF"/>
        </w:rPr>
        <w:t>管理</w:t>
      </w:r>
      <w:bookmarkEnd w:id="1545"/>
    </w:p>
    <w:p>
      <w:pPr>
        <w:pStyle w:val="5"/>
        <w:keepNext w:val="0"/>
        <w:keepLines w:val="0"/>
        <w:pageBreakBefore w:val="0"/>
        <w:widowControl w:val="0"/>
        <w:numPr>
          <w:ilvl w:val="-1"/>
          <w:numId w:val="0"/>
        </w:numPr>
        <w:kinsoku/>
        <w:wordWrap/>
        <w:overflowPunct/>
        <w:topLinePunct w:val="0"/>
        <w:autoSpaceDE/>
        <w:autoSpaceDN/>
        <w:bidi w:val="0"/>
        <w:adjustRightInd/>
        <w:snapToGrid/>
        <w:spacing w:before="0" w:beforeAutospacing="0" w:after="0" w:afterAutospacing="0" w:line="560" w:lineRule="exact"/>
        <w:ind w:left="0" w:leftChars="0" w:firstLine="0" w:firstLineChars="0"/>
        <w:textAlignment w:val="auto"/>
        <w:rPr>
          <w:rFonts w:hint="eastAsia" w:ascii="楷体_GB2312" w:hAnsi="楷体_GB2312" w:eastAsia="楷体_GB2312" w:cs="楷体_GB2312"/>
          <w:b/>
          <w:bCs w:val="0"/>
          <w:color w:val="auto"/>
          <w:sz w:val="32"/>
          <w:szCs w:val="24"/>
          <w:highlight w:val="none"/>
          <w:shd w:val="clear"/>
          <w:lang w:eastAsia="zh-CN"/>
        </w:rPr>
      </w:pPr>
      <w:bookmarkStart w:id="1546" w:name="_Toc13166"/>
      <w:bookmarkStart w:id="1547" w:name="_Toc10011"/>
      <w:bookmarkStart w:id="1548" w:name="_Toc31367"/>
      <w:bookmarkStart w:id="1549" w:name="_Toc14743"/>
      <w:bookmarkStart w:id="1550" w:name="_Toc1263251055"/>
      <w:bookmarkStart w:id="1551" w:name="_Toc11396"/>
      <w:bookmarkStart w:id="1552" w:name="_Toc26764"/>
      <w:bookmarkStart w:id="1553" w:name="_Toc30966"/>
      <w:bookmarkStart w:id="1554" w:name="_Toc1234"/>
      <w:bookmarkStart w:id="1555" w:name="_Toc100245631"/>
    </w:p>
    <w:p>
      <w:pPr>
        <w:pStyle w:val="5"/>
        <w:keepNext w:val="0"/>
        <w:keepLines w:val="0"/>
        <w:pageBreakBefore w:val="0"/>
        <w:widowControl w:val="0"/>
        <w:numPr>
          <w:ilvl w:val="-1"/>
          <w:numId w:val="0"/>
        </w:numPr>
        <w:kinsoku/>
        <w:wordWrap/>
        <w:overflowPunct/>
        <w:topLinePunct w:val="0"/>
        <w:autoSpaceDE/>
        <w:autoSpaceDN/>
        <w:bidi w:val="0"/>
        <w:adjustRightInd/>
        <w:snapToGrid/>
        <w:spacing w:before="0" w:beforeAutospacing="0" w:after="0" w:afterAutospacing="0" w:line="560" w:lineRule="exact"/>
        <w:ind w:left="0" w:leftChars="0" w:firstLine="643" w:firstLineChars="200"/>
        <w:textAlignment w:val="auto"/>
        <w:rPr>
          <w:rFonts w:hint="eastAsia" w:ascii="楷体_GB2312" w:hAnsi="楷体_GB2312" w:eastAsia="楷体_GB2312" w:cs="楷体_GB2312"/>
          <w:b/>
          <w:bCs w:val="0"/>
          <w:color w:val="auto"/>
          <w:sz w:val="32"/>
          <w:szCs w:val="24"/>
          <w:highlight w:val="none"/>
          <w:shd w:val="clear" w:color="auto" w:fill="auto"/>
        </w:rPr>
      </w:pPr>
      <w:r>
        <w:rPr>
          <w:rFonts w:hint="eastAsia" w:ascii="楷体_GB2312" w:hAnsi="楷体_GB2312" w:eastAsia="楷体_GB2312" w:cs="楷体_GB2312"/>
          <w:b/>
          <w:bCs w:val="0"/>
          <w:color w:val="auto"/>
          <w:sz w:val="32"/>
          <w:szCs w:val="24"/>
          <w:highlight w:val="none"/>
          <w:shd w:val="clear" w:color="auto" w:fill="auto"/>
          <w:lang w:eastAsia="zh-CN"/>
        </w:rPr>
        <w:t>第九条</w:t>
      </w:r>
      <w:r>
        <w:rPr>
          <w:rFonts w:hint="eastAsia" w:ascii="楷体_GB2312" w:hAnsi="楷体_GB2312" w:eastAsia="楷体_GB2312" w:cs="楷体_GB2312"/>
          <w:b/>
          <w:bCs w:val="0"/>
          <w:color w:val="auto"/>
          <w:sz w:val="32"/>
          <w:szCs w:val="24"/>
          <w:highlight w:val="none"/>
          <w:shd w:val="clear" w:color="auto" w:fill="auto"/>
          <w:lang w:val="en-US" w:eastAsia="zh-CN"/>
        </w:rPr>
        <w:t xml:space="preserve">  </w:t>
      </w:r>
      <w:r>
        <w:rPr>
          <w:rFonts w:hint="eastAsia" w:ascii="楷体_GB2312" w:hAnsi="楷体_GB2312" w:eastAsia="楷体_GB2312" w:cs="楷体_GB2312"/>
          <w:b/>
          <w:bCs w:val="0"/>
          <w:color w:val="auto"/>
          <w:sz w:val="32"/>
          <w:szCs w:val="24"/>
          <w:highlight w:val="none"/>
          <w:shd w:val="clear" w:color="auto" w:fill="auto"/>
        </w:rPr>
        <w:t>支持自主碳核查</w:t>
      </w:r>
      <w:bookmarkEnd w:id="1546"/>
      <w:bookmarkEnd w:id="1547"/>
      <w:bookmarkEnd w:id="1548"/>
      <w:bookmarkEnd w:id="1549"/>
      <w:bookmarkEnd w:id="1550"/>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对于</w:t>
      </w:r>
      <w:r>
        <w:rPr>
          <w:rFonts w:ascii="仿宋_GB2312" w:hAnsi="仿宋_GB2312" w:eastAsia="仿宋_GB2312" w:cs="仿宋_GB2312"/>
          <w:sz w:val="32"/>
          <w:szCs w:val="32"/>
          <w:shd w:val="clear" w:color="auto" w:fill="FFFFFF"/>
        </w:rPr>
        <w:t>未纳入全国或深圳</w:t>
      </w:r>
      <w:r>
        <w:rPr>
          <w:rFonts w:hint="eastAsia" w:ascii="仿宋_GB2312" w:hAnsi="仿宋_GB2312" w:eastAsia="仿宋_GB2312" w:cs="仿宋_GB2312"/>
          <w:sz w:val="32"/>
          <w:szCs w:val="32"/>
          <w:shd w:val="clear" w:color="auto" w:fill="FFFFFF"/>
        </w:rPr>
        <w:t>碳交易</w:t>
      </w:r>
      <w:r>
        <w:rPr>
          <w:rFonts w:ascii="仿宋_GB2312" w:hAnsi="仿宋_GB2312" w:eastAsia="仿宋_GB2312" w:cs="仿宋_GB2312"/>
          <w:sz w:val="32"/>
          <w:szCs w:val="32"/>
          <w:shd w:val="clear" w:color="auto" w:fill="FFFFFF"/>
        </w:rPr>
        <w:t>管控范围的</w:t>
      </w:r>
      <w:r>
        <w:rPr>
          <w:rFonts w:hint="eastAsia" w:ascii="仿宋_GB2312" w:hAnsi="仿宋_GB2312" w:eastAsia="仿宋_GB2312" w:cs="仿宋_GB2312"/>
          <w:sz w:val="32"/>
          <w:szCs w:val="32"/>
          <w:shd w:val="clear" w:color="auto" w:fill="FFFFFF"/>
        </w:rPr>
        <w:t>碳排放量超过1000吨，</w:t>
      </w:r>
      <w:r>
        <w:rPr>
          <w:rFonts w:ascii="仿宋_GB2312" w:hAnsi="仿宋_GB2312" w:eastAsia="仿宋_GB2312" w:cs="仿宋_GB2312"/>
          <w:sz w:val="32"/>
          <w:szCs w:val="32"/>
          <w:shd w:val="clear" w:color="auto" w:fill="FFFFFF"/>
        </w:rPr>
        <w:t>且</w:t>
      </w:r>
      <w:r>
        <w:rPr>
          <w:rFonts w:hint="eastAsia" w:ascii="仿宋_GB2312" w:hAnsi="仿宋_GB2312" w:eastAsia="仿宋_GB2312" w:cs="仿宋_GB2312"/>
          <w:sz w:val="32"/>
          <w:szCs w:val="32"/>
          <w:shd w:val="clear" w:color="auto" w:fill="FFFFFF"/>
        </w:rPr>
        <w:t>按照生态环境部门要求提交经由深圳市市场监督管理局备案的第三方机构</w:t>
      </w:r>
      <w:r>
        <w:rPr>
          <w:rFonts w:ascii="仿宋_GB2312" w:hAnsi="仿宋_GB2312" w:eastAsia="仿宋_GB2312" w:cs="仿宋_GB2312"/>
          <w:sz w:val="32"/>
          <w:szCs w:val="32"/>
          <w:shd w:val="clear" w:color="auto" w:fill="FFFFFF"/>
        </w:rPr>
        <w:t>发放的</w:t>
      </w:r>
      <w:r>
        <w:rPr>
          <w:rFonts w:hint="eastAsia" w:ascii="仿宋_GB2312" w:hAnsi="仿宋_GB2312" w:eastAsia="仿宋_GB2312" w:cs="仿宋_GB2312"/>
          <w:sz w:val="32"/>
          <w:szCs w:val="32"/>
          <w:shd w:val="clear" w:color="auto" w:fill="FFFFFF"/>
        </w:rPr>
        <w:t>《碳排放核查报告》或《温室气体核查声明/证书》</w:t>
      </w:r>
      <w:r>
        <w:rPr>
          <w:rFonts w:ascii="仿宋_GB2312" w:hAnsi="仿宋_GB2312" w:eastAsia="仿宋_GB2312" w:cs="仿宋_GB2312"/>
          <w:sz w:val="32"/>
          <w:szCs w:val="32"/>
          <w:shd w:val="clear" w:color="auto" w:fill="FFFFFF"/>
        </w:rPr>
        <w:t>的企业</w:t>
      </w:r>
      <w:r>
        <w:rPr>
          <w:rFonts w:hint="eastAsia" w:ascii="仿宋_GB2312" w:hAnsi="仿宋_GB2312" w:eastAsia="仿宋_GB2312" w:cs="仿宋_GB2312"/>
          <w:sz w:val="32"/>
          <w:szCs w:val="32"/>
          <w:shd w:val="clear" w:color="auto" w:fill="FFFFFF"/>
        </w:rPr>
        <w:t>，给予一次性补贴2万元。</w:t>
      </w:r>
      <w:bookmarkEnd w:id="1551"/>
      <w:bookmarkEnd w:id="1552"/>
      <w:bookmarkEnd w:id="1553"/>
    </w:p>
    <w:bookmarkEnd w:id="1554"/>
    <w:bookmarkEnd w:id="1555"/>
    <w:p>
      <w:pPr>
        <w:pStyle w:val="5"/>
        <w:keepNext w:val="0"/>
        <w:keepLines w:val="0"/>
        <w:pageBreakBefore w:val="0"/>
        <w:widowControl w:val="0"/>
        <w:numPr>
          <w:ilvl w:val="-1"/>
          <w:numId w:val="0"/>
        </w:numPr>
        <w:kinsoku/>
        <w:wordWrap/>
        <w:overflowPunct/>
        <w:topLinePunct w:val="0"/>
        <w:autoSpaceDE/>
        <w:autoSpaceDN/>
        <w:bidi w:val="0"/>
        <w:adjustRightInd/>
        <w:snapToGrid/>
        <w:spacing w:before="0" w:beforeAutospacing="0" w:after="0" w:afterAutospacing="0" w:line="560" w:lineRule="exact"/>
        <w:ind w:left="0" w:leftChars="0" w:firstLine="643" w:firstLineChars="200"/>
        <w:textAlignment w:val="auto"/>
        <w:rPr>
          <w:rFonts w:hint="eastAsia" w:ascii="楷体_GB2312" w:hAnsi="楷体_GB2312" w:eastAsia="楷体_GB2312" w:cs="楷体_GB2312"/>
          <w:b/>
          <w:bCs w:val="0"/>
          <w:color w:val="auto"/>
          <w:sz w:val="32"/>
          <w:szCs w:val="24"/>
          <w:highlight w:val="none"/>
          <w:shd w:val="clear" w:color="auto" w:fill="auto"/>
        </w:rPr>
      </w:pPr>
      <w:bookmarkStart w:id="1556" w:name="_Toc262"/>
      <w:bookmarkStart w:id="1557" w:name="_Toc31778"/>
      <w:bookmarkStart w:id="1558" w:name="_Toc7271"/>
      <w:bookmarkStart w:id="1559" w:name="_Toc19203"/>
      <w:bookmarkStart w:id="1560" w:name="_Toc32331"/>
      <w:bookmarkStart w:id="1561" w:name="_Toc4755"/>
      <w:bookmarkStart w:id="1562" w:name="_Toc513326456"/>
      <w:bookmarkStart w:id="1563" w:name="_Toc31671"/>
      <w:bookmarkStart w:id="1564" w:name="_Toc99354166"/>
      <w:bookmarkStart w:id="1565" w:name="_Toc5584"/>
      <w:bookmarkStart w:id="1566" w:name="_Toc12254"/>
      <w:bookmarkStart w:id="1567" w:name="_Toc15233"/>
      <w:bookmarkStart w:id="1568" w:name="_Toc100245642"/>
      <w:bookmarkStart w:id="1569" w:name="_Toc91503714"/>
      <w:bookmarkStart w:id="1570" w:name="_Toc1393"/>
      <w:r>
        <w:rPr>
          <w:rFonts w:hint="eastAsia" w:ascii="楷体_GB2312" w:hAnsi="楷体_GB2312" w:eastAsia="楷体_GB2312" w:cs="楷体_GB2312"/>
          <w:b/>
          <w:bCs w:val="0"/>
          <w:color w:val="auto"/>
          <w:sz w:val="32"/>
          <w:szCs w:val="24"/>
          <w:highlight w:val="none"/>
          <w:shd w:val="clear" w:color="auto" w:fill="auto"/>
          <w:lang w:eastAsia="zh-CN"/>
        </w:rPr>
        <w:t>第十条</w:t>
      </w:r>
      <w:r>
        <w:rPr>
          <w:rFonts w:hint="eastAsia" w:ascii="楷体_GB2312" w:hAnsi="楷体_GB2312" w:eastAsia="楷体_GB2312" w:cs="楷体_GB2312"/>
          <w:b/>
          <w:bCs w:val="0"/>
          <w:color w:val="auto"/>
          <w:sz w:val="32"/>
          <w:szCs w:val="24"/>
          <w:highlight w:val="none"/>
          <w:shd w:val="clear" w:color="auto" w:fill="auto"/>
          <w:lang w:val="en-US" w:eastAsia="zh-CN"/>
        </w:rPr>
        <w:t xml:space="preserve">  </w:t>
      </w:r>
      <w:r>
        <w:rPr>
          <w:rFonts w:hint="eastAsia" w:ascii="楷体_GB2312" w:hAnsi="楷体_GB2312" w:eastAsia="楷体_GB2312" w:cs="楷体_GB2312"/>
          <w:b/>
          <w:bCs w:val="0"/>
          <w:color w:val="auto"/>
          <w:sz w:val="32"/>
          <w:szCs w:val="24"/>
          <w:highlight w:val="none"/>
          <w:shd w:val="clear" w:color="auto" w:fill="auto"/>
        </w:rPr>
        <w:t>支持碳中和管理</w:t>
      </w:r>
      <w:bookmarkEnd w:id="1556"/>
      <w:bookmarkEnd w:id="1557"/>
      <w:bookmarkEnd w:id="1558"/>
      <w:bookmarkEnd w:id="1559"/>
      <w:bookmarkEnd w:id="1560"/>
      <w:bookmarkEnd w:id="1561"/>
      <w:bookmarkEnd w:id="1562"/>
      <w:r>
        <w:rPr>
          <w:rFonts w:hint="eastAsia" w:ascii="楷体_GB2312" w:hAnsi="楷体_GB2312" w:eastAsia="楷体_GB2312" w:cs="楷体_GB2312"/>
          <w:b/>
          <w:bCs w:val="0"/>
          <w:color w:val="auto"/>
          <w:sz w:val="32"/>
          <w:szCs w:val="24"/>
          <w:highlight w:val="none"/>
          <w:shd w:val="clear" w:color="auto" w:fill="auto"/>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对于获得</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碳中和企业”认证的企业，给予一次性奖励10万元</w:t>
      </w:r>
      <w:r>
        <w:rPr>
          <w:rFonts w:hint="eastAsia" w:ascii="仿宋_GB2312" w:hAnsi="仿宋_GB2312" w:eastAsia="仿宋_GB2312" w:cs="仿宋_GB2312"/>
          <w:color w:val="auto"/>
          <w:sz w:val="32"/>
          <w:szCs w:val="32"/>
          <w:shd w:val="clear" w:color="auto" w:fill="FFFFFF"/>
        </w:rPr>
        <w:t>。</w:t>
      </w:r>
      <w:r>
        <w:rPr>
          <w:rFonts w:ascii="仿宋_GB2312" w:hAnsi="仿宋_GB2312" w:eastAsia="仿宋_GB2312" w:cs="仿宋_GB2312"/>
          <w:color w:val="auto"/>
          <w:sz w:val="32"/>
          <w:szCs w:val="32"/>
          <w:shd w:val="clear" w:color="auto" w:fill="FFFFFF"/>
        </w:rPr>
        <w:t>对于</w:t>
      </w:r>
      <w:r>
        <w:rPr>
          <w:rFonts w:hint="eastAsia" w:ascii="仿宋_GB2312" w:hAnsi="仿宋_GB2312" w:eastAsia="仿宋_GB2312" w:cs="仿宋_GB2312"/>
          <w:color w:val="auto"/>
          <w:sz w:val="32"/>
          <w:szCs w:val="32"/>
          <w:shd w:val="clear" w:color="auto" w:fill="FFFFFF"/>
        </w:rPr>
        <w:t>制定碳中和路径目标，且每年碳排放总量下降不少于5%、</w:t>
      </w:r>
      <w:r>
        <w:rPr>
          <w:rFonts w:ascii="仿宋_GB2312" w:hAnsi="仿宋_GB2312" w:eastAsia="仿宋_GB2312" w:cs="仿宋_GB2312"/>
          <w:color w:val="auto"/>
          <w:sz w:val="32"/>
          <w:szCs w:val="32"/>
          <w:shd w:val="clear" w:color="auto" w:fill="FFFFFF"/>
        </w:rPr>
        <w:t>碳排放</w:t>
      </w:r>
      <w:r>
        <w:rPr>
          <w:rFonts w:hint="eastAsia" w:ascii="仿宋_GB2312" w:hAnsi="仿宋_GB2312" w:eastAsia="仿宋_GB2312" w:cs="仿宋_GB2312"/>
          <w:color w:val="auto"/>
          <w:sz w:val="32"/>
          <w:szCs w:val="32"/>
          <w:shd w:val="clear" w:color="auto" w:fill="FFFFFF"/>
        </w:rPr>
        <w:t>强度下降不少于5%的企业，给予一次性</w:t>
      </w:r>
      <w:r>
        <w:rPr>
          <w:rFonts w:hint="default" w:ascii="仿宋_GB2312" w:hAnsi="仿宋_GB2312" w:eastAsia="仿宋_GB2312" w:cs="仿宋_GB2312"/>
          <w:color w:val="auto"/>
          <w:sz w:val="32"/>
          <w:szCs w:val="32"/>
          <w:shd w:val="clear" w:color="auto" w:fill="FFFFFF"/>
        </w:rPr>
        <w:t>奖励</w:t>
      </w:r>
      <w:r>
        <w:rPr>
          <w:rFonts w:hint="eastAsia" w:ascii="仿宋_GB2312" w:hAnsi="仿宋_GB2312" w:eastAsia="仿宋_GB2312" w:cs="仿宋_GB2312"/>
          <w:color w:val="auto"/>
          <w:sz w:val="32"/>
          <w:szCs w:val="32"/>
          <w:shd w:val="clear" w:color="auto" w:fill="FFFFFF"/>
        </w:rPr>
        <w:t>30万元。</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textAlignment w:val="auto"/>
        <w:rPr>
          <w:rFonts w:ascii="仿宋_GB2312" w:hAnsi="仿宋_GB2312" w:eastAsia="仿宋_GB2312" w:cs="仿宋_GB2312"/>
          <w:sz w:val="32"/>
          <w:szCs w:val="32"/>
          <w:shd w:val="clear" w:color="auto" w:fill="FFFFFF"/>
        </w:rPr>
      </w:pPr>
    </w:p>
    <w:p>
      <w:pPr>
        <w:pStyle w:val="10"/>
        <w:keepNext w:val="0"/>
        <w:keepLines w:val="0"/>
        <w:pageBreakBefore w:val="0"/>
        <w:widowControl w:val="0"/>
        <w:tabs>
          <w:tab w:val="right" w:leader="dot" w:pos="8250"/>
        </w:tabs>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outlineLvl w:val="0"/>
        <w:rPr>
          <w:rFonts w:hint="eastAsia" w:eastAsia="黑体" w:asciiTheme="minorHAnsi" w:hAnsiTheme="minorHAnsi" w:cstheme="minorBidi"/>
          <w:b w:val="0"/>
          <w:bCs w:val="0"/>
          <w:caps w:val="0"/>
          <w:sz w:val="32"/>
          <w:shd w:val="clear" w:color="auto" w:fill="FFFFFF"/>
        </w:rPr>
      </w:pPr>
      <w:bookmarkStart w:id="1571" w:name="_Toc1891577908"/>
      <w:r>
        <w:rPr>
          <w:rFonts w:hint="eastAsia" w:eastAsia="黑体" w:asciiTheme="minorHAnsi" w:hAnsiTheme="minorHAnsi" w:cstheme="minorBidi"/>
          <w:b w:val="0"/>
          <w:bCs w:val="0"/>
          <w:caps w:val="0"/>
          <w:sz w:val="32"/>
          <w:shd w:val="clear" w:color="auto" w:fill="FFFFFF"/>
        </w:rPr>
        <w:t xml:space="preserve">第五章 </w:t>
      </w:r>
      <w:r>
        <w:rPr>
          <w:rFonts w:hint="eastAsia" w:eastAsia="黑体" w:asciiTheme="minorHAnsi" w:hAnsiTheme="minorHAnsi" w:cstheme="minorBidi"/>
          <w:b w:val="0"/>
          <w:bCs w:val="0"/>
          <w:caps w:val="0"/>
          <w:sz w:val="32"/>
          <w:shd w:val="clear"/>
          <w:lang w:val="en-US" w:eastAsia="zh-CN"/>
        </w:rPr>
        <w:t xml:space="preserve"> </w:t>
      </w:r>
      <w:r>
        <w:rPr>
          <w:rFonts w:hint="eastAsia" w:eastAsia="黑体" w:asciiTheme="minorHAnsi" w:hAnsiTheme="minorHAnsi" w:cstheme="minorBidi"/>
          <w:b w:val="0"/>
          <w:bCs w:val="0"/>
          <w:caps w:val="0"/>
          <w:sz w:val="32"/>
          <w:shd w:val="clear" w:color="auto" w:fill="FFFFFF"/>
        </w:rPr>
        <w:t>支持绿色低碳活动</w:t>
      </w:r>
      <w:bookmarkEnd w:id="1571"/>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0" w:leftChars="0" w:firstLine="0" w:firstLineChars="0"/>
        <w:textAlignment w:val="auto"/>
        <w:rPr>
          <w:rFonts w:hint="eastAsia" w:ascii="楷体_GB2312" w:hAnsi="楷体_GB2312" w:eastAsia="楷体_GB2312" w:cs="楷体_GB2312"/>
          <w:b/>
          <w:bCs w:val="0"/>
          <w:color w:val="auto"/>
          <w:sz w:val="32"/>
          <w:szCs w:val="24"/>
          <w:highlight w:val="none"/>
          <w:shd w:val="clear"/>
          <w:lang w:eastAsia="zh-CN"/>
        </w:rPr>
      </w:pPr>
    </w:p>
    <w:p>
      <w:pPr>
        <w:pStyle w:val="5"/>
        <w:keepNext w:val="0"/>
        <w:keepLines w:val="0"/>
        <w:pageBreakBefore w:val="0"/>
        <w:widowControl w:val="0"/>
        <w:numPr>
          <w:ilvl w:val="-1"/>
          <w:numId w:val="0"/>
        </w:numPr>
        <w:kinsoku/>
        <w:wordWrap/>
        <w:overflowPunct/>
        <w:topLinePunct w:val="0"/>
        <w:autoSpaceDE/>
        <w:autoSpaceDN/>
        <w:bidi w:val="0"/>
        <w:adjustRightInd/>
        <w:snapToGrid/>
        <w:spacing w:before="0" w:beforeAutospacing="0" w:after="0" w:afterAutospacing="0" w:line="560" w:lineRule="exact"/>
        <w:ind w:left="0" w:leftChars="0" w:firstLine="643" w:firstLineChars="200"/>
        <w:textAlignment w:val="auto"/>
        <w:rPr>
          <w:rFonts w:hint="eastAsia" w:ascii="楷体_GB2312" w:hAnsi="楷体_GB2312" w:eastAsia="楷体_GB2312" w:cs="楷体_GB2312"/>
          <w:b/>
          <w:bCs w:val="0"/>
          <w:color w:val="auto"/>
          <w:sz w:val="32"/>
          <w:szCs w:val="24"/>
          <w:highlight w:val="none"/>
          <w:shd w:val="clear" w:color="auto" w:fill="auto"/>
        </w:rPr>
      </w:pPr>
      <w:r>
        <w:rPr>
          <w:rFonts w:hint="eastAsia" w:ascii="楷体_GB2312" w:hAnsi="楷体_GB2312" w:eastAsia="楷体_GB2312" w:cs="楷体_GB2312"/>
          <w:b/>
          <w:bCs w:val="0"/>
          <w:color w:val="auto"/>
          <w:sz w:val="32"/>
          <w:szCs w:val="24"/>
          <w:highlight w:val="none"/>
          <w:shd w:val="clear" w:color="auto" w:fill="FFFFFF"/>
          <w:lang w:eastAsia="zh-CN"/>
        </w:rPr>
        <w:t>第十一条</w:t>
      </w:r>
      <w:r>
        <w:rPr>
          <w:rFonts w:hint="eastAsia" w:ascii="楷体_GB2312" w:hAnsi="楷体_GB2312" w:eastAsia="楷体_GB2312" w:cs="楷体_GB2312"/>
          <w:b/>
          <w:bCs w:val="0"/>
          <w:color w:val="auto"/>
          <w:sz w:val="32"/>
          <w:szCs w:val="24"/>
          <w:highlight w:val="none"/>
          <w:shd w:val="clear" w:color="auto" w:fill="FFFFFF"/>
          <w:lang w:val="en-US" w:eastAsia="zh-CN"/>
        </w:rPr>
        <w:t xml:space="preserve">  </w:t>
      </w:r>
      <w:bookmarkEnd w:id="1563"/>
      <w:bookmarkEnd w:id="1564"/>
      <w:bookmarkEnd w:id="1565"/>
      <w:bookmarkEnd w:id="1566"/>
      <w:bookmarkEnd w:id="1567"/>
      <w:bookmarkStart w:id="1572" w:name="_Toc468277273"/>
      <w:r>
        <w:rPr>
          <w:rFonts w:hint="eastAsia" w:ascii="楷体_GB2312" w:hAnsi="楷体_GB2312" w:eastAsia="楷体_GB2312" w:cs="楷体_GB2312"/>
          <w:b/>
          <w:bCs w:val="0"/>
          <w:color w:val="auto"/>
          <w:sz w:val="32"/>
          <w:szCs w:val="24"/>
          <w:highlight w:val="none"/>
          <w:shd w:val="clear" w:color="auto" w:fill="auto"/>
        </w:rPr>
        <w:t>支持购买绿色电力</w:t>
      </w:r>
      <w:bookmarkEnd w:id="1572"/>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textAlignment w:val="auto"/>
        <w:rPr>
          <w:rFonts w:ascii="仿宋_GB2312" w:hAnsi="仿宋_GB2312" w:eastAsia="仿宋_GB2312" w:cs="仿宋_GB2312"/>
          <w:color w:val="00B0F0"/>
          <w:sz w:val="32"/>
          <w:szCs w:val="32"/>
          <w:shd w:val="clear" w:color="auto" w:fill="FFFFFF"/>
        </w:rPr>
      </w:pPr>
      <w:r>
        <w:rPr>
          <w:rFonts w:ascii="仿宋_GB2312" w:hAnsi="仿宋_GB2312" w:eastAsia="仿宋_GB2312" w:cs="仿宋_GB2312"/>
          <w:sz w:val="32"/>
          <w:szCs w:val="32"/>
          <w:shd w:val="clear" w:color="auto" w:fill="FFFFFF"/>
        </w:rPr>
        <w:t>对于为</w:t>
      </w:r>
      <w:r>
        <w:rPr>
          <w:rFonts w:hint="eastAsia" w:ascii="仿宋_GB2312" w:hAnsi="仿宋_GB2312" w:eastAsia="仿宋_GB2312" w:cs="仿宋_GB2312"/>
          <w:sz w:val="32"/>
          <w:szCs w:val="32"/>
          <w:shd w:val="clear" w:color="auto" w:fill="FFFFFF"/>
        </w:rPr>
        <w:t>达到《深圳市近零碳排放区试点建设实施方案</w:t>
      </w:r>
      <w:r>
        <w:rPr>
          <w:rFonts w:ascii="仿宋_GB2312" w:hAnsi="仿宋_GB2312" w:eastAsia="仿宋_GB2312" w:cs="仿宋_GB2312"/>
          <w:sz w:val="32"/>
          <w:szCs w:val="32"/>
          <w:shd w:val="clear" w:color="auto" w:fill="FFFFFF"/>
        </w:rPr>
        <w:t>》中</w:t>
      </w:r>
      <w:r>
        <w:rPr>
          <w:rFonts w:hint="eastAsia" w:ascii="仿宋_GB2312" w:hAnsi="仿宋_GB2312" w:eastAsia="仿宋_GB2312" w:cs="仿宋_GB2312"/>
          <w:sz w:val="32"/>
          <w:szCs w:val="32"/>
          <w:shd w:val="clear" w:color="auto" w:fill="FFFFFF"/>
        </w:rPr>
        <w:t>核心指标要求</w:t>
      </w:r>
      <w:r>
        <w:rPr>
          <w:rFonts w:ascii="仿宋_GB2312" w:hAnsi="仿宋_GB2312" w:eastAsia="仿宋_GB2312" w:cs="仿宋_GB2312"/>
          <w:sz w:val="32"/>
          <w:szCs w:val="32"/>
          <w:shd w:val="clear" w:color="auto" w:fill="FFFFFF"/>
        </w:rPr>
        <w:t>而</w:t>
      </w:r>
      <w:r>
        <w:rPr>
          <w:rFonts w:hint="eastAsia" w:ascii="仿宋_GB2312" w:hAnsi="仿宋_GB2312" w:eastAsia="仿宋_GB2312" w:cs="仿宋_GB2312"/>
          <w:sz w:val="32"/>
          <w:szCs w:val="32"/>
          <w:shd w:val="clear" w:color="auto" w:fill="FFFFFF"/>
        </w:rPr>
        <w:t>购买绿电</w:t>
      </w:r>
      <w:r>
        <w:rPr>
          <w:rFonts w:ascii="仿宋_GB2312" w:hAnsi="仿宋_GB2312" w:eastAsia="仿宋_GB2312" w:cs="仿宋_GB2312"/>
          <w:sz w:val="32"/>
          <w:szCs w:val="32"/>
          <w:shd w:val="clear" w:color="auto" w:fill="FFFFFF"/>
        </w:rPr>
        <w:t>，且获得市级及以上生态环境部门授予近零碳排放称号的</w:t>
      </w:r>
      <w:r>
        <w:rPr>
          <w:rFonts w:hint="eastAsia" w:ascii="仿宋_GB2312" w:hAnsi="仿宋_GB2312" w:eastAsia="仿宋_GB2312" w:cs="仿宋_GB2312"/>
          <w:sz w:val="32"/>
          <w:szCs w:val="32"/>
          <w:shd w:val="clear" w:color="auto" w:fill="FFFFFF"/>
        </w:rPr>
        <w:t>项目，按其购买绿电成本</w:t>
      </w:r>
      <w:r>
        <w:rPr>
          <w:rFonts w:ascii="仿宋_GB2312" w:hAnsi="仿宋_GB2312" w:eastAsia="仿宋_GB2312" w:cs="仿宋_GB2312"/>
          <w:sz w:val="32"/>
          <w:szCs w:val="32"/>
          <w:shd w:val="clear" w:color="auto" w:fill="FFFFFF"/>
        </w:rPr>
        <w:t>给予</w:t>
      </w:r>
      <w:r>
        <w:rPr>
          <w:rFonts w:hint="eastAsia" w:ascii="仿宋_GB2312" w:hAnsi="仿宋_GB2312" w:eastAsia="仿宋_GB2312" w:cs="仿宋_GB2312"/>
          <w:sz w:val="32"/>
          <w:szCs w:val="32"/>
          <w:shd w:val="clear" w:color="auto" w:fill="FFFFFF"/>
        </w:rPr>
        <w:t>补贴，</w:t>
      </w:r>
      <w:r>
        <w:rPr>
          <w:rFonts w:ascii="仿宋_GB2312" w:hAnsi="仿宋_GB2312" w:eastAsia="仿宋_GB2312" w:cs="仿宋_GB2312"/>
          <w:sz w:val="32"/>
          <w:szCs w:val="32"/>
          <w:shd w:val="clear" w:color="auto" w:fill="FFFFFF"/>
        </w:rPr>
        <w:t>每个项目</w:t>
      </w:r>
      <w:r>
        <w:rPr>
          <w:rFonts w:ascii="仿宋_GB2312" w:hAnsi="仿宋_GB2312" w:eastAsia="仿宋_GB2312" w:cs="仿宋_GB2312"/>
          <w:color w:val="auto"/>
          <w:sz w:val="32"/>
          <w:szCs w:val="32"/>
          <w:shd w:val="clear" w:color="auto" w:fill="FFFFFF"/>
        </w:rPr>
        <w:t>每年</w:t>
      </w:r>
      <w:r>
        <w:rPr>
          <w:rFonts w:hint="eastAsia" w:ascii="仿宋_GB2312" w:hAnsi="仿宋_GB2312" w:eastAsia="仿宋_GB2312" w:cs="仿宋_GB2312"/>
          <w:color w:val="auto"/>
          <w:sz w:val="32"/>
          <w:szCs w:val="32"/>
          <w:shd w:val="clear" w:color="auto" w:fill="FFFFFF"/>
        </w:rPr>
        <w:t>最高5</w:t>
      </w:r>
      <w:r>
        <w:rPr>
          <w:rFonts w:hint="eastAsia" w:ascii="仿宋_GB2312" w:hAnsi="仿宋_GB2312" w:eastAsia="仿宋_GB2312" w:cs="仿宋_GB2312"/>
          <w:sz w:val="32"/>
          <w:szCs w:val="32"/>
          <w:shd w:val="clear" w:color="auto" w:fill="FFFFFF"/>
        </w:rPr>
        <w:t>0万元</w:t>
      </w:r>
      <w:r>
        <w:rPr>
          <w:rFonts w:ascii="仿宋_GB2312" w:hAnsi="仿宋_GB2312" w:eastAsia="仿宋_GB2312" w:cs="仿宋_GB2312"/>
          <w:sz w:val="32"/>
          <w:szCs w:val="32"/>
          <w:shd w:val="clear" w:color="auto" w:fill="FFFFFF"/>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0" w:leftChars="0" w:firstLine="643" w:firstLineChars="200"/>
        <w:textAlignment w:val="auto"/>
        <w:rPr>
          <w:rFonts w:hint="eastAsia" w:ascii="楷体_GB2312" w:hAnsi="楷体_GB2312" w:eastAsia="楷体_GB2312" w:cs="楷体_GB2312"/>
          <w:b/>
          <w:bCs w:val="0"/>
          <w:color w:val="auto"/>
          <w:sz w:val="32"/>
          <w:szCs w:val="24"/>
          <w:highlight w:val="none"/>
          <w:shd w:val="clear" w:color="auto" w:fill="auto"/>
        </w:rPr>
      </w:pPr>
      <w:bookmarkStart w:id="1573" w:name="_Toc53060153"/>
      <w:r>
        <w:rPr>
          <w:rFonts w:hint="eastAsia" w:ascii="楷体_GB2312" w:hAnsi="楷体_GB2312" w:eastAsia="楷体_GB2312" w:cs="楷体_GB2312"/>
          <w:b/>
          <w:bCs w:val="0"/>
          <w:color w:val="auto"/>
          <w:sz w:val="32"/>
          <w:szCs w:val="24"/>
          <w:highlight w:val="none"/>
          <w:shd w:val="clear" w:color="auto" w:fill="auto"/>
          <w:lang w:eastAsia="zh-CN"/>
        </w:rPr>
        <w:t>第十二条</w:t>
      </w:r>
      <w:r>
        <w:rPr>
          <w:rFonts w:hint="eastAsia" w:ascii="楷体_GB2312" w:hAnsi="楷体_GB2312" w:eastAsia="楷体_GB2312" w:cs="楷体_GB2312"/>
          <w:b/>
          <w:bCs w:val="0"/>
          <w:color w:val="auto"/>
          <w:sz w:val="32"/>
          <w:szCs w:val="24"/>
          <w:highlight w:val="none"/>
          <w:shd w:val="clear" w:color="auto" w:fill="auto"/>
          <w:lang w:val="en-US" w:eastAsia="zh-CN"/>
        </w:rPr>
        <w:t xml:space="preserve">  </w:t>
      </w:r>
      <w:r>
        <w:rPr>
          <w:rFonts w:hint="eastAsia" w:ascii="楷体_GB2312" w:hAnsi="楷体_GB2312" w:eastAsia="楷体_GB2312" w:cs="楷体_GB2312"/>
          <w:b/>
          <w:bCs w:val="0"/>
          <w:color w:val="auto"/>
          <w:sz w:val="32"/>
          <w:szCs w:val="24"/>
          <w:highlight w:val="none"/>
          <w:shd w:val="clear" w:color="auto" w:fill="auto"/>
        </w:rPr>
        <w:t>支持公众领域打造低碳场景</w:t>
      </w:r>
      <w:bookmarkEnd w:id="1573"/>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对于通过低碳场景评价，且由</w:t>
      </w:r>
      <w:r>
        <w:rPr>
          <w:rFonts w:ascii="仿宋_GB2312" w:hAnsi="仿宋_GB2312" w:eastAsia="仿宋_GB2312" w:cs="仿宋_GB2312"/>
          <w:sz w:val="32"/>
          <w:szCs w:val="32"/>
          <w:shd w:val="clear" w:color="auto" w:fill="FFFFFF"/>
        </w:rPr>
        <w:t>市级及以上生态环境部门</w:t>
      </w:r>
      <w:r>
        <w:rPr>
          <w:rFonts w:hint="eastAsia" w:ascii="仿宋_GB2312" w:hAnsi="仿宋_GB2312" w:eastAsia="仿宋_GB2312" w:cs="仿宋_GB2312"/>
          <w:sz w:val="32"/>
          <w:szCs w:val="32"/>
          <w:shd w:val="clear" w:color="auto" w:fill="FFFFFF"/>
        </w:rPr>
        <w:t>授予碳普惠低碳场景标识的旅游景区、餐饮、酒店、商超等，给予一次性奖励2万元。</w:t>
      </w:r>
    </w:p>
    <w:p>
      <w:pPr>
        <w:pStyle w:val="10"/>
        <w:keepNext w:val="0"/>
        <w:keepLines w:val="0"/>
        <w:pageBreakBefore w:val="0"/>
        <w:widowControl w:val="0"/>
        <w:tabs>
          <w:tab w:val="right" w:leader="dot" w:pos="8250"/>
        </w:tabs>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outlineLvl w:val="0"/>
        <w:rPr>
          <w:rFonts w:hint="eastAsia" w:eastAsia="黑体" w:asciiTheme="minorHAnsi" w:hAnsiTheme="minorHAnsi" w:cstheme="minorBidi"/>
          <w:b/>
          <w:bCs/>
          <w:caps w:val="0"/>
          <w:sz w:val="32"/>
          <w:shd w:val="clear"/>
        </w:rPr>
      </w:pPr>
      <w:bookmarkStart w:id="1574" w:name="_Toc19653"/>
      <w:bookmarkStart w:id="1575" w:name="_Toc30907"/>
      <w:bookmarkStart w:id="1576" w:name="_Toc16775"/>
      <w:bookmarkStart w:id="1577" w:name="_Toc24294"/>
      <w:bookmarkStart w:id="1578" w:name="_Toc6012"/>
      <w:bookmarkStart w:id="1579" w:name="_Toc14304"/>
      <w:bookmarkStart w:id="1580" w:name="_Toc21376"/>
      <w:bookmarkStart w:id="1581" w:name="_Toc28405"/>
      <w:bookmarkStart w:id="1582" w:name="_Toc29921"/>
      <w:bookmarkStart w:id="1583" w:name="_Toc1836716943"/>
      <w:bookmarkStart w:id="1584" w:name="_Toc3824"/>
      <w:bookmarkStart w:id="1585" w:name="_Toc24453"/>
    </w:p>
    <w:p>
      <w:pPr>
        <w:pStyle w:val="10"/>
        <w:keepNext w:val="0"/>
        <w:keepLines w:val="0"/>
        <w:pageBreakBefore w:val="0"/>
        <w:widowControl w:val="0"/>
        <w:tabs>
          <w:tab w:val="right" w:leader="dot" w:pos="8250"/>
        </w:tabs>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outlineLvl w:val="0"/>
        <w:rPr>
          <w:rFonts w:hint="eastAsia" w:eastAsia="黑体" w:asciiTheme="minorHAnsi" w:hAnsiTheme="minorHAnsi" w:cstheme="minorBidi"/>
          <w:b w:val="0"/>
          <w:bCs w:val="0"/>
          <w:caps w:val="0"/>
          <w:sz w:val="32"/>
          <w:shd w:val="clear"/>
        </w:rPr>
      </w:pPr>
      <w:r>
        <w:rPr>
          <w:rFonts w:hint="eastAsia" w:eastAsia="黑体" w:asciiTheme="minorHAnsi" w:hAnsiTheme="minorHAnsi" w:cstheme="minorBidi"/>
          <w:b w:val="0"/>
          <w:bCs w:val="0"/>
          <w:caps w:val="0"/>
          <w:sz w:val="32"/>
          <w:shd w:val="clear" w:color="auto" w:fill="FFFFFF"/>
        </w:rPr>
        <w:t>第六章</w:t>
      </w:r>
      <w:r>
        <w:rPr>
          <w:rFonts w:hint="eastAsia" w:eastAsia="黑体" w:asciiTheme="minorHAnsi" w:hAnsiTheme="minorHAnsi" w:cstheme="minorBidi"/>
          <w:b w:val="0"/>
          <w:bCs w:val="0"/>
          <w:caps w:val="0"/>
          <w:sz w:val="32"/>
          <w:shd w:val="clear"/>
          <w:lang w:val="en-US" w:eastAsia="zh-CN"/>
        </w:rPr>
        <w:t xml:space="preserve">  </w:t>
      </w:r>
      <w:bookmarkEnd w:id="1568"/>
      <w:bookmarkEnd w:id="1569"/>
      <w:bookmarkEnd w:id="1570"/>
      <w:bookmarkEnd w:id="1574"/>
      <w:bookmarkEnd w:id="1575"/>
      <w:bookmarkEnd w:id="1576"/>
      <w:bookmarkEnd w:id="1577"/>
      <w:bookmarkEnd w:id="1578"/>
      <w:bookmarkEnd w:id="1579"/>
      <w:bookmarkEnd w:id="1580"/>
      <w:bookmarkEnd w:id="1581"/>
      <w:bookmarkEnd w:id="1582"/>
      <w:bookmarkEnd w:id="1583"/>
      <w:bookmarkEnd w:id="1584"/>
      <w:bookmarkEnd w:id="1585"/>
      <w:r>
        <w:rPr>
          <w:rFonts w:hint="eastAsia" w:eastAsia="黑体" w:asciiTheme="minorHAnsi" w:hAnsiTheme="minorHAnsi" w:cstheme="minorBidi"/>
          <w:b w:val="0"/>
          <w:bCs w:val="0"/>
          <w:caps w:val="0"/>
          <w:sz w:val="32"/>
          <w:shd w:val="clear" w:color="auto" w:fill="FFFFFF"/>
        </w:rPr>
        <w:t>附</w:t>
      </w:r>
      <w:r>
        <w:rPr>
          <w:rFonts w:hint="eastAsia" w:eastAsia="黑体" w:asciiTheme="minorHAnsi" w:hAnsiTheme="minorHAnsi" w:cstheme="minorBidi"/>
          <w:b w:val="0"/>
          <w:bCs w:val="0"/>
          <w:caps w:val="0"/>
          <w:sz w:val="32"/>
          <w:shd w:val="clear"/>
          <w:lang w:val="en-US" w:eastAsia="zh-CN"/>
        </w:rPr>
        <w:t xml:space="preserve">  </w:t>
      </w:r>
      <w:r>
        <w:rPr>
          <w:rFonts w:hint="eastAsia" w:eastAsia="黑体" w:asciiTheme="minorHAnsi" w:hAnsiTheme="minorHAnsi" w:cstheme="minorBidi"/>
          <w:b w:val="0"/>
          <w:bCs w:val="0"/>
          <w:caps w:val="0"/>
          <w:sz w:val="32"/>
          <w:shd w:val="clear" w:color="auto" w:fill="FFFFFF"/>
        </w:rPr>
        <w:t>则</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eastAsia" w:asciiTheme="minorHAnsi" w:hAnsiTheme="minorHAnsi" w:eastAsiaTheme="minorEastAsia" w:cstheme="minorBidi"/>
          <w:b w:val="0"/>
          <w:bCs w:val="0"/>
          <w:shd w:val="clear" w:color="auto" w:fill="FFFFFF"/>
        </w:rPr>
      </w:pPr>
    </w:p>
    <w:p>
      <w:pPr>
        <w:pStyle w:val="16"/>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cs="仿宋_GB2312"/>
          <w:sz w:val="32"/>
          <w:szCs w:val="32"/>
          <w:lang w:eastAsia="zh-CN"/>
        </w:rPr>
        <w:t>（一）</w:t>
      </w:r>
      <w:r>
        <w:rPr>
          <w:rFonts w:hint="eastAsia" w:ascii="仿宋_GB2312" w:hAnsi="仿宋_GB2312" w:eastAsia="仿宋_GB2312" w:cs="仿宋_GB2312"/>
          <w:sz w:val="32"/>
          <w:szCs w:val="32"/>
        </w:rPr>
        <w:t>本措施中涉及南山区绿色低碳企业及绿色低碳产品申报的，因</w:t>
      </w:r>
      <w:r>
        <w:rPr>
          <w:rFonts w:hint="eastAsia" w:ascii="仿宋_GB2312" w:hAnsi="仿宋_GB2312" w:eastAsia="仿宋_GB2312" w:cs="仿宋_GB2312"/>
          <w:sz w:val="32"/>
          <w:szCs w:val="32"/>
          <w:highlight w:val="none"/>
          <w:shd w:val="clear" w:color="auto" w:fill="FFFFFF"/>
        </w:rPr>
        <w:t>《南山区绿色低碳企业评价细则》及《南山区绿色低碳产品评价细则》</w:t>
      </w:r>
      <w:r>
        <w:rPr>
          <w:rFonts w:hint="eastAsia" w:ascii="仿宋_GB2312" w:hAnsi="仿宋_GB2312" w:eastAsia="仿宋_GB2312" w:cs="仿宋_GB2312"/>
          <w:sz w:val="32"/>
          <w:szCs w:val="32"/>
          <w:shd w:val="clear" w:color="auto" w:fill="FFFFFF"/>
        </w:rPr>
        <w:t>暂未印发，</w:t>
      </w:r>
      <w:r>
        <w:rPr>
          <w:rFonts w:hint="eastAsia" w:ascii="仿宋_GB2312" w:hAnsi="仿宋_GB2312" w:eastAsia="仿宋_GB2312" w:cs="仿宋_GB2312"/>
          <w:sz w:val="32"/>
          <w:szCs w:val="32"/>
        </w:rPr>
        <w:t>由相关单位直接向主管部门提出申请，主管部门提出受理意见，按“一事一议”的方式报区自主创新产业发展专项资金领导小组会议审议；</w:t>
      </w:r>
      <w:r>
        <w:rPr>
          <w:rFonts w:hint="eastAsia" w:ascii="仿宋_GB2312" w:hAnsi="仿宋_GB2312" w:eastAsia="仿宋_GB2312" w:cs="仿宋_GB2312"/>
          <w:sz w:val="32"/>
          <w:szCs w:val="32"/>
          <w:highlight w:val="none"/>
          <w:shd w:val="clear" w:color="auto" w:fill="FFFFFF"/>
        </w:rPr>
        <w:t>《南山区绿色低碳企业评价细则》及《南山区绿色低碳产品评价细则》</w:t>
      </w:r>
      <w:r>
        <w:rPr>
          <w:rFonts w:hint="eastAsia" w:ascii="仿宋_GB2312" w:hAnsi="仿宋_GB2312" w:eastAsia="仿宋_GB2312" w:cs="仿宋_GB2312"/>
          <w:color w:val="auto"/>
          <w:sz w:val="32"/>
          <w:szCs w:val="32"/>
          <w:shd w:val="clear" w:color="auto" w:fill="FFFFFF"/>
        </w:rPr>
        <w:t>印</w:t>
      </w:r>
      <w:r>
        <w:rPr>
          <w:rFonts w:hint="eastAsia" w:ascii="仿宋_GB2312" w:hAnsi="仿宋_GB2312" w:eastAsia="仿宋_GB2312" w:cs="仿宋_GB2312"/>
          <w:sz w:val="32"/>
          <w:szCs w:val="32"/>
          <w:shd w:val="clear" w:color="auto" w:fill="FFFFFF"/>
        </w:rPr>
        <w:t>发实施后，</w:t>
      </w:r>
      <w:r>
        <w:rPr>
          <w:rFonts w:hint="eastAsia" w:ascii="仿宋_GB2312" w:hAnsi="仿宋_GB2312" w:eastAsia="仿宋_GB2312" w:cs="仿宋_GB2312"/>
          <w:sz w:val="32"/>
          <w:szCs w:val="32"/>
        </w:rPr>
        <w:t>由相关单位直接向主管部门提出申请，主管部门</w:t>
      </w:r>
      <w:r>
        <w:rPr>
          <w:rFonts w:hint="eastAsia" w:ascii="仿宋_GB2312" w:hAnsi="仿宋_GB2312" w:eastAsia="仿宋_GB2312" w:cs="仿宋_GB2312"/>
          <w:sz w:val="32"/>
          <w:szCs w:val="32"/>
          <w:shd w:val="clear" w:color="auto" w:fill="FFFFFF"/>
        </w:rPr>
        <w:t>按本措施要求审定。</w:t>
      </w:r>
    </w:p>
    <w:p>
      <w:pPr>
        <w:pStyle w:val="16"/>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cs="仿宋_GB2312"/>
          <w:sz w:val="32"/>
          <w:szCs w:val="32"/>
          <w:lang w:eastAsia="zh-CN"/>
        </w:rPr>
        <w:t>（二）</w:t>
      </w:r>
      <w:r>
        <w:rPr>
          <w:rFonts w:hint="eastAsia" w:ascii="仿宋_GB2312" w:hAnsi="仿宋_GB2312" w:eastAsia="仿宋_GB2312" w:cs="仿宋_GB2312"/>
          <w:sz w:val="32"/>
          <w:szCs w:val="32"/>
        </w:rPr>
        <w:t>符合本措施规定的同一事项同时符合本区其他扶持政策规定（含上级部门要求本区配套或负担资金的政策规定）的，按照从高不重复的原则予以扶持，另有规定的除外</w:t>
      </w:r>
      <w:r>
        <w:rPr>
          <w:rFonts w:ascii="仿宋_GB2312" w:hAnsi="仿宋_GB2312" w:eastAsia="仿宋_GB2312" w:cs="仿宋_GB2312"/>
          <w:sz w:val="32"/>
          <w:szCs w:val="32"/>
        </w:rPr>
        <w:t xml:space="preserve">。  </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0" w:firstLineChars="0"/>
        <w:textAlignment w:val="auto"/>
        <w:rPr>
          <w:rFonts w:ascii="仿宋_GB2312" w:hAnsi="仿宋_GB2312" w:eastAsia="仿宋_GB2312" w:cs="仿宋_GB2312"/>
          <w:sz w:val="32"/>
          <w:szCs w:val="32"/>
          <w:shd w:val="clear" w:color="auto" w:fill="FFFFFF"/>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shd w:val="clear" w:color="auto" w:fill="FFFFFF"/>
        </w:rPr>
        <w:t>获得扶持资金的涉税支出由企业或机构自行承担。</w:t>
      </w:r>
      <w:r>
        <w:rPr>
          <w:rFonts w:ascii="仿宋_GB2312" w:hAnsi="仿宋_GB2312" w:eastAsia="仿宋_GB2312" w:cs="仿宋_GB2312"/>
          <w:sz w:val="32"/>
          <w:szCs w:val="32"/>
          <w:shd w:val="clear" w:color="auto" w:fill="FFFFFF"/>
        </w:rPr>
        <w:t>对于</w:t>
      </w:r>
      <w:r>
        <w:rPr>
          <w:rFonts w:hint="eastAsia" w:ascii="仿宋_GB2312" w:hAnsi="仿宋_GB2312" w:eastAsia="仿宋_GB2312" w:cs="仿宋_GB2312"/>
          <w:sz w:val="32"/>
          <w:szCs w:val="32"/>
          <w:shd w:val="clear" w:color="auto" w:fill="FFFFFF"/>
        </w:rPr>
        <w:t>企业或机构变更名称</w:t>
      </w:r>
      <w:r>
        <w:rPr>
          <w:rFonts w:ascii="仿宋_GB2312" w:hAnsi="仿宋_GB2312" w:eastAsia="仿宋_GB2312" w:cs="仿宋_GB2312"/>
          <w:sz w:val="32"/>
          <w:szCs w:val="32"/>
          <w:shd w:val="clear" w:color="auto" w:fill="FFFFFF"/>
        </w:rPr>
        <w:t>及</w:t>
      </w:r>
      <w:r>
        <w:rPr>
          <w:rFonts w:hint="eastAsia" w:ascii="仿宋_GB2312" w:hAnsi="仿宋_GB2312" w:eastAsia="仿宋_GB2312" w:cs="仿宋_GB2312"/>
          <w:sz w:val="32"/>
          <w:szCs w:val="32"/>
          <w:shd w:val="clear" w:color="auto" w:fill="FFFFFF"/>
        </w:rPr>
        <w:t>分拆业务</w:t>
      </w:r>
      <w:r>
        <w:rPr>
          <w:rFonts w:ascii="仿宋_GB2312" w:hAnsi="仿宋_GB2312" w:eastAsia="仿宋_GB2312" w:cs="仿宋_GB2312"/>
          <w:sz w:val="32"/>
          <w:szCs w:val="32"/>
          <w:shd w:val="clear" w:color="auto" w:fill="FFFFFF"/>
        </w:rPr>
        <w:t>的，</w:t>
      </w:r>
      <w:r>
        <w:rPr>
          <w:rFonts w:hint="eastAsia" w:ascii="仿宋_GB2312" w:hAnsi="仿宋_GB2312" w:eastAsia="仿宋_GB2312" w:cs="仿宋_GB2312"/>
          <w:sz w:val="32"/>
          <w:szCs w:val="32"/>
          <w:shd w:val="clear" w:color="auto" w:fill="FFFFFF"/>
        </w:rPr>
        <w:t>原已纳入扶持计划的项目，按原扶持计划情况执行</w:t>
      </w:r>
      <w:r>
        <w:rPr>
          <w:rFonts w:ascii="仿宋_GB2312" w:hAnsi="仿宋_GB2312" w:eastAsia="仿宋_GB2312" w:cs="仿宋_GB2312"/>
          <w:sz w:val="32"/>
          <w:szCs w:val="32"/>
          <w:shd w:val="clear" w:color="auto" w:fill="FFFFFF"/>
        </w:rPr>
        <w:t>，变更后的企业不符合</w:t>
      </w:r>
      <w:r>
        <w:rPr>
          <w:rFonts w:hint="eastAsia" w:ascii="仿宋_GB2312" w:hAnsi="仿宋_GB2312" w:eastAsia="仿宋_GB2312" w:cs="仿宋_GB2312"/>
          <w:sz w:val="32"/>
          <w:szCs w:val="32"/>
          <w:shd w:val="clear" w:color="auto" w:fill="FFFFFF"/>
        </w:rPr>
        <w:t>本办法扶持范畴。</w:t>
      </w:r>
    </w:p>
    <w:p>
      <w:pPr>
        <w:pStyle w:val="16"/>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cs="仿宋_GB2312"/>
          <w:sz w:val="32"/>
          <w:szCs w:val="32"/>
          <w:lang w:eastAsia="zh-CN"/>
        </w:rPr>
        <w:t>（三）</w:t>
      </w:r>
      <w:r>
        <w:rPr>
          <w:rFonts w:hint="eastAsia" w:ascii="仿宋_GB2312" w:hAnsi="仿宋_GB2312" w:eastAsia="仿宋_GB2312" w:cs="仿宋_GB2312"/>
          <w:sz w:val="32"/>
          <w:szCs w:val="32"/>
        </w:rPr>
        <w:t>本措施自发布之日起实施，有效期三年。</w:t>
      </w:r>
    </w:p>
    <w:p>
      <w:pPr>
        <w:pStyle w:val="16"/>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cs="仿宋_GB2312"/>
          <w:sz w:val="32"/>
          <w:szCs w:val="32"/>
          <w:lang w:eastAsia="zh-CN"/>
        </w:rPr>
        <w:t>（四）</w:t>
      </w:r>
      <w:r>
        <w:rPr>
          <w:rFonts w:hint="eastAsia" w:ascii="仿宋_GB2312" w:hAnsi="仿宋_GB2312" w:eastAsia="仿宋_GB2312" w:cs="仿宋_GB2312"/>
          <w:sz w:val="32"/>
          <w:szCs w:val="32"/>
        </w:rPr>
        <w:t>本措施由市生态环境局南山管理局负责解释，制定</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本措施相关的操作规程。</w:t>
      </w:r>
    </w:p>
    <w:p>
      <w:pPr>
        <w:keepNext w:val="0"/>
        <w:keepLines w:val="0"/>
        <w:pageBreakBefore w:val="0"/>
        <w:widowControl w:val="0"/>
        <w:wordWrap/>
        <w:topLinePunct w:val="0"/>
        <w:bidi w:val="0"/>
        <w:spacing w:beforeAutospacing="0" w:afterAutospacing="0" w:line="560" w:lineRule="exact"/>
        <w:ind w:left="0" w:leftChars="0"/>
        <w:jc w:val="center"/>
        <w:rPr>
          <w:rFonts w:hint="eastAsia" w:ascii="方正小标宋_GBK" w:hAnsi="方正小标宋_GBK" w:eastAsia="方正小标宋_GBK" w:cs="方正小标宋_GBK"/>
          <w:bCs w:val="0"/>
          <w:color w:val="000000"/>
          <w:sz w:val="44"/>
          <w:szCs w:val="44"/>
          <w:highlight w:val="none"/>
          <w:lang w:val="en-US" w:eastAsia="zh-CN"/>
        </w:rPr>
      </w:pPr>
    </w:p>
    <w:p>
      <w:pPr>
        <w:keepNext w:val="0"/>
        <w:keepLines w:val="0"/>
        <w:pageBreakBefore w:val="0"/>
        <w:widowControl w:val="0"/>
        <w:wordWrap/>
        <w:topLinePunct w:val="0"/>
        <w:bidi w:val="0"/>
        <w:spacing w:beforeAutospacing="0" w:afterAutospacing="0" w:line="560" w:lineRule="exact"/>
        <w:ind w:left="0" w:leftChars="0"/>
        <w:jc w:val="center"/>
        <w:rPr>
          <w:rFonts w:hint="eastAsia" w:ascii="方正小标宋_GBK" w:hAnsi="方正小标宋_GBK" w:eastAsia="方正小标宋_GBK" w:cs="方正小标宋_GBK"/>
          <w:bCs w:val="0"/>
          <w:color w:val="000000"/>
          <w:sz w:val="44"/>
          <w:szCs w:val="44"/>
          <w:highlight w:val="none"/>
          <w:lang w:val="en-US" w:eastAsia="zh-CN"/>
        </w:rPr>
      </w:pPr>
    </w:p>
    <w:p>
      <w:pPr>
        <w:keepNext w:val="0"/>
        <w:keepLines w:val="0"/>
        <w:pageBreakBefore w:val="0"/>
        <w:widowControl w:val="0"/>
        <w:wordWrap/>
        <w:topLinePunct w:val="0"/>
        <w:bidi w:val="0"/>
        <w:spacing w:beforeAutospacing="0" w:afterAutospacing="0" w:line="560" w:lineRule="exact"/>
        <w:ind w:left="0" w:leftChars="0"/>
        <w:jc w:val="center"/>
        <w:rPr>
          <w:rFonts w:hint="eastAsia" w:ascii="方正小标宋_GBK" w:hAnsi="方正小标宋_GBK" w:eastAsia="方正小标宋_GBK" w:cs="方正小标宋_GBK"/>
          <w:bCs w:val="0"/>
          <w:color w:val="000000"/>
          <w:sz w:val="44"/>
          <w:szCs w:val="44"/>
          <w:highlight w:val="none"/>
          <w:lang w:val="en-US" w:eastAsia="zh-CN"/>
        </w:rPr>
      </w:pPr>
    </w:p>
    <w:p>
      <w:pPr>
        <w:keepNext w:val="0"/>
        <w:keepLines w:val="0"/>
        <w:pageBreakBefore w:val="0"/>
        <w:widowControl w:val="0"/>
        <w:wordWrap/>
        <w:topLinePunct w:val="0"/>
        <w:bidi w:val="0"/>
        <w:spacing w:beforeAutospacing="0" w:afterAutospacing="0" w:line="560" w:lineRule="exact"/>
        <w:ind w:left="0" w:leftChars="0"/>
        <w:jc w:val="center"/>
        <w:rPr>
          <w:rFonts w:hint="eastAsia" w:ascii="方正小标宋_GBK" w:hAnsi="方正小标宋_GBK" w:eastAsia="方正小标宋_GBK" w:cs="方正小标宋_GBK"/>
          <w:bCs w:val="0"/>
          <w:color w:val="000000"/>
          <w:sz w:val="44"/>
          <w:szCs w:val="44"/>
          <w:highlight w:val="none"/>
          <w:lang w:val="en-US" w:eastAsia="zh-CN"/>
        </w:rPr>
      </w:pPr>
    </w:p>
    <w:p>
      <w:pPr>
        <w:keepNext w:val="0"/>
        <w:keepLines w:val="0"/>
        <w:pageBreakBefore w:val="0"/>
        <w:widowControl w:val="0"/>
        <w:wordWrap/>
        <w:topLinePunct w:val="0"/>
        <w:bidi w:val="0"/>
        <w:spacing w:beforeAutospacing="0" w:afterAutospacing="0" w:line="560" w:lineRule="exact"/>
        <w:ind w:left="0" w:leftChars="0"/>
        <w:jc w:val="center"/>
        <w:rPr>
          <w:rFonts w:hint="eastAsia" w:ascii="方正小标宋_GBK" w:hAnsi="方正小标宋_GBK" w:eastAsia="方正小标宋_GBK" w:cs="方正小标宋_GBK"/>
          <w:bCs w:val="0"/>
          <w:color w:val="000000"/>
          <w:sz w:val="44"/>
          <w:szCs w:val="44"/>
          <w:highlight w:val="none"/>
          <w:lang w:val="en-US" w:eastAsia="zh-CN"/>
        </w:rPr>
      </w:pPr>
    </w:p>
    <w:p>
      <w:pPr>
        <w:keepNext w:val="0"/>
        <w:keepLines w:val="0"/>
        <w:pageBreakBefore w:val="0"/>
        <w:widowControl w:val="0"/>
        <w:wordWrap/>
        <w:topLinePunct w:val="0"/>
        <w:bidi w:val="0"/>
        <w:spacing w:beforeAutospacing="0" w:afterAutospacing="0" w:line="560" w:lineRule="exact"/>
        <w:ind w:left="0" w:leftChars="0"/>
        <w:jc w:val="center"/>
        <w:rPr>
          <w:rFonts w:hint="eastAsia" w:ascii="方正小标宋_GBK" w:hAnsi="方正小标宋_GBK" w:eastAsia="方正小标宋_GBK" w:cs="方正小标宋_GBK"/>
          <w:bCs w:val="0"/>
          <w:color w:val="000000"/>
          <w:sz w:val="44"/>
          <w:szCs w:val="44"/>
          <w:highlight w:val="none"/>
          <w:lang w:val="en-US" w:eastAsia="zh-CN"/>
        </w:rPr>
      </w:pPr>
    </w:p>
    <w:p>
      <w:pPr>
        <w:keepNext w:val="0"/>
        <w:keepLines w:val="0"/>
        <w:pageBreakBefore w:val="0"/>
        <w:widowControl w:val="0"/>
        <w:wordWrap/>
        <w:topLinePunct w:val="0"/>
        <w:bidi w:val="0"/>
        <w:spacing w:beforeAutospacing="0" w:afterAutospacing="0" w:line="560" w:lineRule="exact"/>
        <w:ind w:left="0" w:leftChars="0"/>
        <w:jc w:val="center"/>
        <w:rPr>
          <w:rFonts w:hint="eastAsia" w:ascii="方正小标宋_GBK" w:hAnsi="方正小标宋_GBK" w:eastAsia="方正小标宋_GBK" w:cs="方正小标宋_GBK"/>
          <w:bCs w:val="0"/>
          <w:color w:val="000000"/>
          <w:sz w:val="44"/>
          <w:szCs w:val="44"/>
          <w:highlight w:val="none"/>
          <w:lang w:val="en-US" w:eastAsia="zh-CN"/>
        </w:rPr>
      </w:pPr>
    </w:p>
    <w:p>
      <w:pPr>
        <w:keepNext w:val="0"/>
        <w:keepLines w:val="0"/>
        <w:pageBreakBefore w:val="0"/>
        <w:widowControl w:val="0"/>
        <w:wordWrap/>
        <w:topLinePunct w:val="0"/>
        <w:bidi w:val="0"/>
        <w:spacing w:beforeAutospacing="0" w:afterAutospacing="0" w:line="560" w:lineRule="exact"/>
        <w:ind w:left="0" w:leftChars="0"/>
        <w:jc w:val="center"/>
        <w:rPr>
          <w:rFonts w:hint="eastAsia" w:ascii="方正小标宋_GBK" w:hAnsi="方正小标宋_GBK" w:eastAsia="方正小标宋_GBK" w:cs="方正小标宋_GBK"/>
          <w:bCs w:val="0"/>
          <w:color w:val="000000"/>
          <w:sz w:val="44"/>
          <w:szCs w:val="44"/>
          <w:highlight w:val="none"/>
          <w:lang w:val="en-US" w:eastAsia="zh-CN"/>
        </w:rPr>
      </w:pPr>
    </w:p>
    <w:p>
      <w:pPr>
        <w:keepNext w:val="0"/>
        <w:keepLines w:val="0"/>
        <w:pageBreakBefore w:val="0"/>
        <w:widowControl w:val="0"/>
        <w:wordWrap/>
        <w:topLinePunct w:val="0"/>
        <w:bidi w:val="0"/>
        <w:spacing w:beforeAutospacing="0" w:afterAutospacing="0" w:line="560" w:lineRule="exact"/>
        <w:ind w:left="0" w:leftChars="0"/>
        <w:jc w:val="center"/>
        <w:rPr>
          <w:rFonts w:hint="eastAsia" w:ascii="方正小标宋_GBK" w:hAnsi="方正小标宋_GBK" w:eastAsia="方正小标宋_GBK" w:cs="方正小标宋_GBK"/>
          <w:bCs w:val="0"/>
          <w:color w:val="000000"/>
          <w:sz w:val="44"/>
          <w:szCs w:val="44"/>
          <w:highlight w:val="none"/>
          <w:lang w:val="en-US" w:eastAsia="zh-CN"/>
        </w:rPr>
      </w:pPr>
    </w:p>
    <w:p>
      <w:pPr>
        <w:keepNext w:val="0"/>
        <w:keepLines w:val="0"/>
        <w:pageBreakBefore w:val="0"/>
        <w:widowControl w:val="0"/>
        <w:wordWrap/>
        <w:topLinePunct w:val="0"/>
        <w:bidi w:val="0"/>
        <w:spacing w:beforeAutospacing="0" w:afterAutospacing="0" w:line="560" w:lineRule="exact"/>
        <w:ind w:left="0" w:leftChars="0"/>
        <w:jc w:val="center"/>
        <w:rPr>
          <w:rFonts w:hint="eastAsia" w:ascii="方正小标宋_GBK" w:hAnsi="方正小标宋_GBK" w:eastAsia="方正小标宋_GBK" w:cs="方正小标宋_GBK"/>
          <w:bCs w:val="0"/>
          <w:color w:val="000000"/>
          <w:sz w:val="44"/>
          <w:szCs w:val="44"/>
          <w:highlight w:val="none"/>
          <w:lang w:val="en-US" w:eastAsia="zh-CN"/>
        </w:rPr>
      </w:pPr>
    </w:p>
    <w:p>
      <w:pPr>
        <w:keepNext w:val="0"/>
        <w:keepLines w:val="0"/>
        <w:pageBreakBefore w:val="0"/>
        <w:widowControl w:val="0"/>
        <w:wordWrap/>
        <w:topLinePunct w:val="0"/>
        <w:bidi w:val="0"/>
        <w:spacing w:beforeAutospacing="0" w:afterAutospacing="0" w:line="560" w:lineRule="exact"/>
        <w:ind w:left="0" w:leftChars="0"/>
        <w:jc w:val="center"/>
        <w:rPr>
          <w:rFonts w:hint="eastAsia" w:ascii="方正小标宋_GBK" w:hAnsi="方正小标宋_GBK" w:eastAsia="方正小标宋_GBK" w:cs="方正小标宋_GBK"/>
          <w:bCs w:val="0"/>
          <w:color w:val="000000"/>
          <w:sz w:val="44"/>
          <w:szCs w:val="44"/>
          <w:highlight w:val="none"/>
          <w:lang w:val="en-US" w:eastAsia="zh-CN"/>
        </w:rPr>
      </w:pPr>
    </w:p>
    <w:p>
      <w:pPr>
        <w:keepNext w:val="0"/>
        <w:keepLines w:val="0"/>
        <w:pageBreakBefore w:val="0"/>
        <w:widowControl w:val="0"/>
        <w:wordWrap/>
        <w:topLinePunct w:val="0"/>
        <w:bidi w:val="0"/>
        <w:spacing w:beforeAutospacing="0" w:afterAutospacing="0" w:line="560" w:lineRule="exact"/>
        <w:ind w:left="0" w:leftChars="0"/>
        <w:jc w:val="center"/>
        <w:rPr>
          <w:rFonts w:hint="eastAsia" w:ascii="方正小标宋_GBK" w:hAnsi="方正小标宋_GBK" w:eastAsia="方正小标宋_GBK" w:cs="方正小标宋_GBK"/>
          <w:bCs w:val="0"/>
          <w:color w:val="000000"/>
          <w:sz w:val="44"/>
          <w:szCs w:val="44"/>
          <w:highlight w:val="none"/>
          <w:lang w:val="en-US" w:eastAsia="zh-CN"/>
        </w:rPr>
      </w:pPr>
    </w:p>
    <w:p>
      <w:pPr>
        <w:keepNext w:val="0"/>
        <w:keepLines w:val="0"/>
        <w:pageBreakBefore w:val="0"/>
        <w:widowControl w:val="0"/>
        <w:wordWrap/>
        <w:topLinePunct w:val="0"/>
        <w:bidi w:val="0"/>
        <w:spacing w:beforeAutospacing="0" w:afterAutospacing="0" w:line="560" w:lineRule="exact"/>
        <w:ind w:left="0" w:leftChars="0"/>
        <w:jc w:val="center"/>
        <w:rPr>
          <w:rFonts w:hint="eastAsia" w:ascii="方正小标宋_GBK" w:hAnsi="方正小标宋_GBK" w:eastAsia="方正小标宋_GBK" w:cs="方正小标宋_GBK"/>
          <w:bCs w:val="0"/>
          <w:color w:val="000000"/>
          <w:sz w:val="44"/>
          <w:szCs w:val="44"/>
          <w:highlight w:val="none"/>
          <w:lang w:val="en-US" w:eastAsia="zh-CN"/>
        </w:rPr>
      </w:pPr>
    </w:p>
    <w:p>
      <w:pPr>
        <w:keepNext w:val="0"/>
        <w:keepLines w:val="0"/>
        <w:pageBreakBefore w:val="0"/>
        <w:widowControl w:val="0"/>
        <w:wordWrap/>
        <w:topLinePunct w:val="0"/>
        <w:bidi w:val="0"/>
        <w:spacing w:beforeAutospacing="0" w:afterAutospacing="0" w:line="560" w:lineRule="exact"/>
        <w:ind w:left="0" w:leftChars="0"/>
        <w:jc w:val="center"/>
        <w:rPr>
          <w:rFonts w:hint="eastAsia" w:ascii="方正小标宋_GBK" w:hAnsi="方正小标宋_GBK" w:eastAsia="方正小标宋_GBK" w:cs="方正小标宋_GBK"/>
          <w:bCs w:val="0"/>
          <w:color w:val="000000"/>
          <w:sz w:val="44"/>
          <w:szCs w:val="44"/>
          <w:highlight w:val="none"/>
          <w:lang w:val="en-US" w:eastAsia="zh-CN"/>
        </w:rPr>
      </w:pPr>
    </w:p>
    <w:p>
      <w:pPr>
        <w:keepNext w:val="0"/>
        <w:keepLines w:val="0"/>
        <w:pageBreakBefore w:val="0"/>
        <w:widowControl w:val="0"/>
        <w:wordWrap/>
        <w:topLinePunct w:val="0"/>
        <w:bidi w:val="0"/>
        <w:spacing w:beforeAutospacing="0" w:afterAutospacing="0" w:line="560" w:lineRule="exact"/>
        <w:ind w:left="0" w:leftChars="0"/>
        <w:jc w:val="both"/>
        <w:rPr>
          <w:rFonts w:hint="eastAsia" w:ascii="方正小标宋_GBK" w:hAnsi="方正小标宋_GBK" w:eastAsia="方正小标宋_GBK" w:cs="方正小标宋_GBK"/>
          <w:bCs w:val="0"/>
          <w:color w:val="000000"/>
          <w:sz w:val="44"/>
          <w:szCs w:val="44"/>
          <w:highlight w:val="none"/>
          <w:lang w:val="en-US" w:eastAsia="zh-CN"/>
        </w:rPr>
      </w:pPr>
    </w:p>
    <w:p>
      <w:pPr>
        <w:pStyle w:val="2"/>
        <w:jc w:val="both"/>
        <w:rPr>
          <w:rFonts w:hint="eastAsia"/>
          <w:lang w:val="en-US" w:eastAsia="zh-CN"/>
        </w:rPr>
      </w:pPr>
    </w:p>
    <w:p>
      <w:pPr>
        <w:keepNext w:val="0"/>
        <w:keepLines w:val="0"/>
        <w:pageBreakBefore w:val="0"/>
        <w:widowControl w:val="0"/>
        <w:wordWrap/>
        <w:topLinePunct w:val="0"/>
        <w:bidi w:val="0"/>
        <w:spacing w:beforeAutospacing="0" w:afterAutospacing="0" w:line="560" w:lineRule="exact"/>
        <w:ind w:left="0" w:leftChars="0"/>
        <w:jc w:val="center"/>
        <w:rPr>
          <w:rFonts w:hint="eastAsia" w:ascii="方正小标宋_GBK" w:hAnsi="方正小标宋_GBK" w:eastAsia="方正小标宋_GBK" w:cs="方正小标宋_GBK"/>
          <w:bCs w:val="0"/>
          <w:color w:val="000000"/>
          <w:sz w:val="44"/>
          <w:szCs w:val="44"/>
          <w:highlight w:val="none"/>
          <w:lang w:val="en-US" w:eastAsia="zh-CN"/>
        </w:rPr>
      </w:pPr>
    </w:p>
    <w:p>
      <w:pPr>
        <w:rPr>
          <w:rFonts w:hint="eastAsia" w:ascii="方正小标宋_GBK" w:hAnsi="方正小标宋_GBK" w:eastAsia="方正小标宋_GBK" w:cs="方正小标宋_GBK"/>
          <w:bCs w:val="0"/>
          <w:color w:val="000000"/>
          <w:sz w:val="44"/>
          <w:szCs w:val="44"/>
          <w:highlight w:val="none"/>
          <w:lang w:val="en-US" w:eastAsia="zh-CN"/>
        </w:rPr>
      </w:pPr>
      <w:r>
        <w:rPr>
          <w:rFonts w:hint="eastAsia" w:ascii="方正小标宋_GBK" w:hAnsi="方正小标宋_GBK" w:eastAsia="方正小标宋_GBK" w:cs="方正小标宋_GBK"/>
          <w:bCs w:val="0"/>
          <w:color w:val="000000"/>
          <w:sz w:val="44"/>
          <w:szCs w:val="44"/>
          <w:highlight w:val="none"/>
          <w:lang w:val="en-US" w:eastAsia="zh-CN"/>
        </w:rPr>
        <w:br w:type="page"/>
      </w:r>
    </w:p>
    <w:p>
      <w:pPr>
        <w:keepNext w:val="0"/>
        <w:keepLines w:val="0"/>
        <w:pageBreakBefore w:val="0"/>
        <w:widowControl w:val="0"/>
        <w:wordWrap/>
        <w:topLinePunct w:val="0"/>
        <w:bidi w:val="0"/>
        <w:spacing w:beforeAutospacing="0" w:afterAutospacing="0" w:line="560" w:lineRule="exact"/>
        <w:ind w:left="0" w:leftChars="0"/>
        <w:jc w:val="center"/>
        <w:rPr>
          <w:rFonts w:hint="eastAsia" w:ascii="方正小标宋_GBK" w:hAnsi="方正小标宋_GBK" w:eastAsia="方正小标宋_GBK" w:cs="方正小标宋_GBK"/>
          <w:bCs w:val="0"/>
          <w:color w:val="000000"/>
          <w:sz w:val="44"/>
          <w:szCs w:val="44"/>
          <w:highlight w:val="none"/>
          <w:lang w:val="en-US" w:eastAsia="zh-CN"/>
        </w:rPr>
      </w:pPr>
      <w:r>
        <w:rPr>
          <w:rFonts w:hint="eastAsia" w:ascii="方正小标宋_GBK" w:hAnsi="方正小标宋_GBK" w:eastAsia="方正小标宋_GBK" w:cs="方正小标宋_GBK"/>
          <w:bCs w:val="0"/>
          <w:color w:val="000000"/>
          <w:sz w:val="44"/>
          <w:szCs w:val="44"/>
          <w:highlight w:val="none"/>
          <w:lang w:val="en-US" w:eastAsia="zh-CN"/>
        </w:rPr>
        <w:t>南山区促进住房和建设行业高质量发展</w:t>
      </w:r>
    </w:p>
    <w:p>
      <w:pPr>
        <w:keepNext w:val="0"/>
        <w:keepLines w:val="0"/>
        <w:pageBreakBefore w:val="0"/>
        <w:widowControl w:val="0"/>
        <w:wordWrap/>
        <w:topLinePunct w:val="0"/>
        <w:bidi w:val="0"/>
        <w:spacing w:beforeAutospacing="0" w:afterAutospacing="0" w:line="560" w:lineRule="exact"/>
        <w:ind w:left="0" w:leftChars="0"/>
        <w:jc w:val="center"/>
        <w:rPr>
          <w:rFonts w:hint="eastAsia" w:ascii="方正小标宋_GBK" w:hAnsi="方正小标宋_GBK" w:eastAsia="方正小标宋_GBK" w:cs="方正小标宋_GBK"/>
          <w:b w:val="0"/>
          <w:color w:val="000000"/>
          <w:sz w:val="44"/>
          <w:szCs w:val="44"/>
          <w:highlight w:val="none"/>
          <w:lang w:val="en-US" w:eastAsia="zh-CN"/>
        </w:rPr>
      </w:pPr>
      <w:r>
        <w:rPr>
          <w:rFonts w:hint="eastAsia" w:ascii="方正小标宋_GBK" w:hAnsi="方正小标宋_GBK" w:eastAsia="方正小标宋_GBK" w:cs="方正小标宋_GBK"/>
          <w:bCs w:val="0"/>
          <w:color w:val="000000"/>
          <w:sz w:val="44"/>
          <w:szCs w:val="44"/>
          <w:highlight w:val="none"/>
          <w:lang w:val="en-US" w:eastAsia="zh-CN"/>
        </w:rPr>
        <w:t>专项扶持措施</w:t>
      </w:r>
    </w:p>
    <w:p>
      <w:pPr>
        <w:keepNext w:val="0"/>
        <w:keepLines w:val="0"/>
        <w:pageBreakBefore w:val="0"/>
        <w:widowControl w:val="0"/>
        <w:wordWrap/>
        <w:topLinePunct w:val="0"/>
        <w:bidi w:val="0"/>
        <w:spacing w:beforeAutospacing="0" w:afterAutospacing="0" w:line="560" w:lineRule="exact"/>
        <w:ind w:left="0" w:leftChars="0"/>
        <w:jc w:val="center"/>
        <w:rPr>
          <w:rFonts w:hint="eastAsia" w:ascii="宋体" w:hAnsi="宋体" w:eastAsia="宋体" w:cs="宋体"/>
          <w:b/>
          <w:bCs w:val="0"/>
          <w:color w:val="auto"/>
          <w:sz w:val="36"/>
          <w:szCs w:val="36"/>
        </w:rPr>
      </w:pPr>
      <w:r>
        <w:rPr>
          <w:rFonts w:hint="eastAsia" w:ascii="宋体" w:hAnsi="宋体" w:eastAsia="宋体" w:cs="宋体"/>
          <w:b/>
          <w:bCs w:val="0"/>
          <w:color w:val="auto"/>
          <w:sz w:val="36"/>
          <w:szCs w:val="36"/>
        </w:rPr>
        <w:t>（</w:t>
      </w:r>
      <w:r>
        <w:rPr>
          <w:rFonts w:hint="eastAsia" w:ascii="宋体" w:hAnsi="宋体" w:eastAsia="宋体" w:cs="宋体"/>
          <w:b/>
          <w:bCs w:val="0"/>
          <w:color w:val="auto"/>
          <w:sz w:val="36"/>
          <w:szCs w:val="36"/>
          <w:lang w:val="en-US" w:eastAsia="zh-CN"/>
        </w:rPr>
        <w:t>征求意见稿</w:t>
      </w:r>
      <w:r>
        <w:rPr>
          <w:rFonts w:hint="eastAsia" w:ascii="宋体" w:hAnsi="宋体" w:eastAsia="宋体" w:cs="宋体"/>
          <w:b/>
          <w:bCs w:val="0"/>
          <w:color w:val="auto"/>
          <w:sz w:val="36"/>
          <w:szCs w:val="36"/>
        </w:rPr>
        <w:t>）</w:t>
      </w:r>
    </w:p>
    <w:p>
      <w:pPr>
        <w:keepNext w:val="0"/>
        <w:keepLines w:val="0"/>
        <w:pageBreakBefore w:val="0"/>
        <w:widowControl w:val="0"/>
        <w:wordWrap/>
        <w:topLinePunct w:val="0"/>
        <w:bidi w:val="0"/>
        <w:spacing w:beforeAutospacing="0" w:afterAutospacing="0" w:line="560" w:lineRule="exact"/>
        <w:ind w:left="0" w:leftChars="0"/>
        <w:jc w:val="center"/>
        <w:rPr>
          <w:rFonts w:hint="eastAsia" w:ascii="宋体" w:hAnsi="宋体" w:cs="宋体"/>
          <w:b/>
          <w:color w:val="auto"/>
          <w:sz w:val="44"/>
          <w:szCs w:val="44"/>
        </w:rPr>
      </w:pPr>
    </w:p>
    <w:p>
      <w:pPr>
        <w:keepNext w:val="0"/>
        <w:keepLines w:val="0"/>
        <w:pageBreakBefore w:val="0"/>
        <w:widowControl w:val="0"/>
        <w:wordWrap/>
        <w:topLinePunct w:val="0"/>
        <w:bidi w:val="0"/>
        <w:spacing w:beforeAutospacing="0" w:afterAutospacing="0" w:line="560" w:lineRule="exact"/>
        <w:ind w:left="0" w:leftChars="0" w:firstLine="643" w:firstLineChars="200"/>
        <w:rPr>
          <w:rFonts w:hint="eastAsia" w:ascii="仿宋_GB2312" w:hAnsi="仿宋_GB2312" w:eastAsia="仿宋_GB2312" w:cs="仿宋_GB2312"/>
          <w:color w:val="auto"/>
          <w:kern w:val="0"/>
          <w:sz w:val="32"/>
          <w:szCs w:val="32"/>
          <w:highlight w:val="none"/>
        </w:rPr>
      </w:pPr>
      <w:r>
        <w:rPr>
          <w:rFonts w:hint="eastAsia" w:ascii="楷体_GB2312" w:hAnsi="Times New Roman" w:eastAsia="楷体_GB2312" w:cs="Times New Roman"/>
          <w:b/>
          <w:bCs/>
          <w:highlight w:val="none"/>
        </w:rPr>
        <w:t xml:space="preserve">第一条 </w:t>
      </w:r>
      <w:r>
        <w:rPr>
          <w:rFonts w:hint="eastAsia" w:ascii="仿宋_GB2312" w:hAnsi="仿宋_GB2312" w:eastAsia="仿宋_GB2312" w:cs="仿宋_GB2312"/>
          <w:color w:val="auto"/>
          <w:sz w:val="32"/>
          <w:szCs w:val="32"/>
          <w:highlight w:val="none"/>
        </w:rPr>
        <w:t xml:space="preserve"> 为全面贯彻新发展理念，推动南山区</w:t>
      </w:r>
      <w:r>
        <w:rPr>
          <w:rFonts w:hint="eastAsia" w:ascii="仿宋_GB2312" w:hAnsi="仿宋_GB2312" w:eastAsia="仿宋_GB2312" w:cs="仿宋_GB2312"/>
          <w:color w:val="auto"/>
          <w:sz w:val="32"/>
          <w:szCs w:val="32"/>
          <w:highlight w:val="none"/>
          <w:lang w:val="en-US" w:eastAsia="zh-CN"/>
        </w:rPr>
        <w:t>住房和建设行业</w:t>
      </w:r>
      <w:r>
        <w:rPr>
          <w:rFonts w:hint="eastAsia" w:ascii="仿宋_GB2312" w:hAnsi="仿宋_GB2312" w:eastAsia="仿宋_GB2312" w:cs="仿宋_GB2312"/>
          <w:color w:val="auto"/>
          <w:sz w:val="32"/>
          <w:szCs w:val="32"/>
          <w:highlight w:val="none"/>
        </w:rPr>
        <w:t>高质量发展，</w:t>
      </w:r>
      <w:r>
        <w:rPr>
          <w:rFonts w:hint="eastAsia" w:ascii="仿宋_GB2312" w:hAnsi="仿宋_GB2312" w:eastAsia="仿宋_GB2312" w:cs="仿宋_GB2312"/>
          <w:color w:val="auto"/>
          <w:kern w:val="0"/>
          <w:sz w:val="32"/>
          <w:szCs w:val="32"/>
          <w:highlight w:val="none"/>
        </w:rPr>
        <w:t>根据《南山区自主创新产业发展专项资金管理办法》的规定和要求，制定</w:t>
      </w:r>
      <w:r>
        <w:rPr>
          <w:rFonts w:hint="eastAsia" w:ascii="仿宋_GB2312" w:hAnsi="仿宋_GB2312" w:eastAsia="仿宋_GB2312" w:cs="仿宋_GB2312"/>
          <w:color w:val="auto"/>
          <w:kern w:val="0"/>
          <w:sz w:val="32"/>
          <w:szCs w:val="32"/>
          <w:highlight w:val="none"/>
          <w:lang w:eastAsia="zh-CN"/>
        </w:rPr>
        <w:t>本</w:t>
      </w:r>
      <w:r>
        <w:rPr>
          <w:rFonts w:hint="eastAsia" w:ascii="仿宋_GB2312" w:hAnsi="仿宋_GB2312" w:eastAsia="仿宋_GB2312" w:cs="仿宋_GB2312"/>
          <w:bCs w:val="0"/>
          <w:color w:val="auto"/>
          <w:kern w:val="0"/>
          <w:sz w:val="32"/>
          <w:szCs w:val="32"/>
          <w:highlight w:val="none"/>
          <w:lang w:val="en-US" w:eastAsia="zh-CN"/>
        </w:rPr>
        <w:t>措施</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val="0"/>
        <w:wordWrap/>
        <w:topLinePunct w:val="0"/>
        <w:bidi w:val="0"/>
        <w:spacing w:beforeAutospacing="0" w:afterAutospacing="0" w:line="560" w:lineRule="exact"/>
        <w:ind w:left="0" w:leftChars="0" w:firstLine="643" w:firstLineChars="200"/>
        <w:rPr>
          <w:rFonts w:hint="eastAsia" w:ascii="仿宋_GB2312" w:hAnsi="仿宋_GB2312" w:eastAsia="仿宋_GB2312" w:cs="仿宋_GB2312"/>
          <w:color w:val="auto"/>
          <w:sz w:val="32"/>
          <w:szCs w:val="32"/>
          <w:highlight w:val="none"/>
        </w:rPr>
      </w:pPr>
      <w:r>
        <w:rPr>
          <w:rFonts w:hint="eastAsia" w:ascii="楷体_GB2312" w:hAnsi="Times New Roman" w:eastAsia="楷体_GB2312" w:cs="Times New Roman"/>
          <w:b/>
          <w:bCs/>
          <w:highlight w:val="none"/>
        </w:rPr>
        <w:t xml:space="preserve">第二条 </w:t>
      </w:r>
      <w:r>
        <w:rPr>
          <w:rFonts w:hint="eastAsia" w:ascii="仿宋_GB2312" w:hAnsi="仿宋_GB2312" w:eastAsia="仿宋_GB2312" w:cs="仿宋_GB2312"/>
          <w:color w:val="auto"/>
          <w:sz w:val="32"/>
          <w:szCs w:val="32"/>
          <w:highlight w:val="none"/>
        </w:rPr>
        <w:t xml:space="preserve"> 区住房建设局为</w:t>
      </w:r>
      <w:r>
        <w:rPr>
          <w:rFonts w:hint="eastAsia" w:ascii="仿宋_GB2312" w:hAnsi="仿宋_GB2312" w:eastAsia="仿宋_GB2312" w:cs="仿宋_GB2312"/>
          <w:color w:val="auto"/>
          <w:kern w:val="0"/>
          <w:sz w:val="32"/>
          <w:szCs w:val="32"/>
          <w:highlight w:val="none"/>
          <w:lang w:val="en-US" w:eastAsia="zh-CN"/>
        </w:rPr>
        <w:t>本</w:t>
      </w:r>
      <w:r>
        <w:rPr>
          <w:rFonts w:hint="eastAsia" w:ascii="仿宋_GB2312" w:hAnsi="仿宋_GB2312" w:eastAsia="仿宋_GB2312" w:cs="仿宋_GB2312"/>
          <w:color w:val="auto"/>
          <w:kern w:val="0"/>
          <w:sz w:val="32"/>
          <w:szCs w:val="32"/>
          <w:highlight w:val="none"/>
        </w:rPr>
        <w:t>措施</w:t>
      </w:r>
      <w:r>
        <w:rPr>
          <w:rFonts w:hint="eastAsia" w:ascii="仿宋_GB2312" w:hAnsi="仿宋_GB2312" w:eastAsia="仿宋_GB2312" w:cs="仿宋_GB2312"/>
          <w:color w:val="auto"/>
          <w:sz w:val="32"/>
          <w:szCs w:val="32"/>
          <w:highlight w:val="none"/>
        </w:rPr>
        <w:t>的主管部门，区自主创新产业发展专项资金领导小组为决策审批机构，相关部门按有关规定履行职责。</w:t>
      </w:r>
    </w:p>
    <w:p>
      <w:pPr>
        <w:keepNext w:val="0"/>
        <w:keepLines w:val="0"/>
        <w:pageBreakBefore w:val="0"/>
        <w:widowControl w:val="0"/>
        <w:wordWrap/>
        <w:topLinePunct w:val="0"/>
        <w:bidi w:val="0"/>
        <w:spacing w:beforeAutospacing="0" w:afterAutospacing="0" w:line="560" w:lineRule="exact"/>
        <w:ind w:left="0" w:leftChars="0" w:firstLine="643" w:firstLineChars="200"/>
        <w:rPr>
          <w:rFonts w:hint="eastAsia" w:ascii="仿宋_GB2312" w:hAnsi="仿宋_GB2312" w:eastAsia="仿宋_GB2312" w:cs="仿宋_GB2312"/>
          <w:color w:val="auto"/>
          <w:sz w:val="32"/>
          <w:szCs w:val="32"/>
          <w:highlight w:val="none"/>
        </w:rPr>
      </w:pPr>
      <w:r>
        <w:rPr>
          <w:rFonts w:hint="eastAsia" w:ascii="楷体_GB2312" w:hAnsi="Times New Roman" w:eastAsia="楷体_GB2312" w:cs="Times New Roman"/>
          <w:b/>
          <w:bCs/>
          <w:highlight w:val="none"/>
        </w:rPr>
        <w:t>第</w:t>
      </w:r>
      <w:r>
        <w:rPr>
          <w:rFonts w:hint="eastAsia" w:ascii="楷体_GB2312" w:hAnsi="Times New Roman" w:eastAsia="楷体_GB2312" w:cs="Times New Roman"/>
          <w:b/>
          <w:bCs/>
          <w:highlight w:val="none"/>
          <w:lang w:val="en-US" w:eastAsia="zh-CN"/>
        </w:rPr>
        <w:t>三</w:t>
      </w:r>
      <w:r>
        <w:rPr>
          <w:rFonts w:hint="eastAsia" w:ascii="楷体_GB2312" w:hAnsi="Times New Roman" w:eastAsia="楷体_GB2312" w:cs="Times New Roman"/>
          <w:b/>
          <w:bCs/>
          <w:highlight w:val="none"/>
        </w:rPr>
        <w:t>条</w:t>
      </w:r>
      <w:r>
        <w:rPr>
          <w:rFonts w:hint="eastAsia" w:ascii="仿宋_GB2312" w:hAnsi="仿宋_GB2312" w:eastAsia="仿宋_GB2312" w:cs="仿宋_GB2312"/>
          <w:color w:val="auto"/>
          <w:sz w:val="32"/>
          <w:szCs w:val="32"/>
          <w:highlight w:val="none"/>
        </w:rPr>
        <w:t xml:space="preserve">  资助范围</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wordWrap/>
        <w:topLinePunct w:val="0"/>
        <w:bidi w:val="0"/>
        <w:spacing w:beforeAutospacing="0" w:afterAutospacing="0" w:line="560" w:lineRule="exact"/>
        <w:ind w:left="0" w:leftChars="0" w:firstLine="640" w:firstLineChars="200"/>
        <w:rPr>
          <w:rFonts w:hint="eastAsia" w:ascii="仿宋_GB2312" w:hAnsi="仿宋_GB2312" w:eastAsia="仿宋_GB2312" w:cs="仿宋_GB2312"/>
          <w:color w:val="auto"/>
          <w:sz w:val="32"/>
          <w:szCs w:val="32"/>
          <w:highlight w:val="none"/>
          <w:lang w:eastAsia="zh-CN"/>
        </w:rPr>
      </w:pPr>
      <w:bookmarkStart w:id="1586" w:name="_Hlk50457944"/>
      <w:r>
        <w:rPr>
          <w:rFonts w:hint="eastAsia" w:ascii="仿宋_GB2312" w:hAnsi="仿宋_GB2312" w:eastAsia="仿宋_GB2312" w:cs="仿宋_GB2312"/>
          <w:color w:val="auto"/>
          <w:sz w:val="32"/>
          <w:szCs w:val="32"/>
          <w:highlight w:val="none"/>
        </w:rPr>
        <w:t>（一）</w:t>
      </w:r>
      <w:bookmarkStart w:id="1587" w:name="_Hlk50454936"/>
      <w:r>
        <w:rPr>
          <w:rFonts w:hint="eastAsia" w:ascii="仿宋_GB2312" w:hAnsi="仿宋_GB2312" w:eastAsia="仿宋_GB2312" w:cs="仿宋_GB2312"/>
          <w:color w:val="auto"/>
          <w:sz w:val="32"/>
          <w:szCs w:val="32"/>
          <w:highlight w:val="none"/>
        </w:rPr>
        <w:t>优质建筑业企业</w:t>
      </w:r>
      <w:bookmarkEnd w:id="1587"/>
      <w:r>
        <w:rPr>
          <w:rFonts w:hint="eastAsia" w:ascii="仿宋_GB2312" w:hAnsi="仿宋_GB2312" w:eastAsia="仿宋_GB2312" w:cs="仿宋_GB2312"/>
          <w:color w:val="auto"/>
          <w:sz w:val="32"/>
          <w:szCs w:val="32"/>
          <w:highlight w:val="none"/>
          <w:lang w:eastAsia="zh-CN"/>
        </w:rPr>
        <w:t>；</w:t>
      </w:r>
    </w:p>
    <w:bookmarkEnd w:id="1586"/>
    <w:p>
      <w:pPr>
        <w:keepNext w:val="0"/>
        <w:keepLines w:val="0"/>
        <w:pageBreakBefore w:val="0"/>
        <w:widowControl w:val="0"/>
        <w:wordWrap/>
        <w:topLinePunct w:val="0"/>
        <w:bidi w:val="0"/>
        <w:spacing w:beforeAutospacing="0" w:afterAutospacing="0" w:line="560" w:lineRule="exact"/>
        <w:ind w:left="0" w:leftChars="0"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w:t>
      </w:r>
      <w:bookmarkStart w:id="1588" w:name="_Hlk50456907"/>
      <w:r>
        <w:rPr>
          <w:rFonts w:hint="eastAsia" w:ascii="仿宋_GB2312" w:hAnsi="仿宋_GB2312" w:eastAsia="仿宋_GB2312" w:cs="仿宋_GB2312"/>
          <w:color w:val="auto"/>
          <w:sz w:val="32"/>
          <w:szCs w:val="32"/>
          <w:highlight w:val="none"/>
          <w:lang w:val="en-US" w:eastAsia="zh-CN"/>
        </w:rPr>
        <w:t>创新发展工程建设企业</w:t>
      </w:r>
      <w:bookmarkEnd w:id="1588"/>
      <w:r>
        <w:rPr>
          <w:rFonts w:hint="eastAsia" w:ascii="仿宋_GB2312" w:hAnsi="仿宋_GB2312" w:eastAsia="仿宋_GB2312" w:cs="仿宋_GB2312"/>
          <w:color w:val="auto"/>
          <w:sz w:val="32"/>
          <w:szCs w:val="32"/>
          <w:highlight w:val="none"/>
        </w:rPr>
        <w:t>；</w:t>
      </w:r>
    </w:p>
    <w:p>
      <w:pPr>
        <w:keepNext w:val="0"/>
        <w:keepLines w:val="0"/>
        <w:pageBreakBefore w:val="0"/>
        <w:widowControl w:val="0"/>
        <w:wordWrap/>
        <w:topLinePunct w:val="0"/>
        <w:bidi w:val="0"/>
        <w:spacing w:beforeAutospacing="0" w:afterAutospacing="0" w:line="560" w:lineRule="exact"/>
        <w:ind w:left="0" w:leftChars="0"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突出业绩建筑业企业</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wordWrap/>
        <w:topLinePunct w:val="0"/>
        <w:bidi w:val="0"/>
        <w:spacing w:beforeAutospacing="0" w:afterAutospacing="0" w:line="560" w:lineRule="exact"/>
        <w:ind w:left="0" w:leftChars="0"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四</w:t>
      </w:r>
      <w:r>
        <w:rPr>
          <w:rFonts w:hint="eastAsia" w:ascii="仿宋_GB2312" w:hAnsi="仿宋_GB2312" w:eastAsia="仿宋_GB2312" w:cs="仿宋_GB2312"/>
          <w:color w:val="auto"/>
          <w:sz w:val="32"/>
          <w:szCs w:val="32"/>
          <w:highlight w:val="none"/>
        </w:rPr>
        <w:t>）优质建筑工程；</w:t>
      </w:r>
    </w:p>
    <w:p>
      <w:pPr>
        <w:keepNext w:val="0"/>
        <w:keepLines w:val="0"/>
        <w:pageBreakBefore w:val="0"/>
        <w:widowControl w:val="0"/>
        <w:wordWrap/>
        <w:topLinePunct w:val="0"/>
        <w:bidi w:val="0"/>
        <w:spacing w:beforeAutospacing="0" w:afterAutospacing="0" w:line="560" w:lineRule="exact"/>
        <w:ind w:left="0" w:leftChars="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五</w:t>
      </w:r>
      <w:r>
        <w:rPr>
          <w:rFonts w:hint="eastAsia" w:ascii="仿宋_GB2312" w:hAnsi="仿宋_GB2312" w:eastAsia="仿宋_GB2312" w:cs="仿宋_GB2312"/>
          <w:color w:val="auto"/>
          <w:sz w:val="32"/>
          <w:szCs w:val="32"/>
          <w:highlight w:val="none"/>
        </w:rPr>
        <w:t>）装配式建筑示范工程；</w:t>
      </w:r>
    </w:p>
    <w:p>
      <w:pPr>
        <w:keepNext w:val="0"/>
        <w:keepLines w:val="0"/>
        <w:pageBreakBefore w:val="0"/>
        <w:widowControl w:val="0"/>
        <w:wordWrap/>
        <w:topLinePunct w:val="0"/>
        <w:bidi w:val="0"/>
        <w:spacing w:beforeAutospacing="0" w:afterAutospacing="0" w:line="560" w:lineRule="exact"/>
        <w:ind w:left="0" w:leftChars="0"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六</w:t>
      </w:r>
      <w:r>
        <w:rPr>
          <w:rFonts w:hint="eastAsia" w:ascii="仿宋_GB2312" w:hAnsi="仿宋_GB2312" w:eastAsia="仿宋_GB2312" w:cs="仿宋_GB2312"/>
          <w:color w:val="auto"/>
          <w:sz w:val="32"/>
          <w:szCs w:val="32"/>
          <w:highlight w:val="none"/>
        </w:rPr>
        <w:t>）建筑节能及绿色建筑示范</w:t>
      </w:r>
      <w:r>
        <w:rPr>
          <w:rFonts w:hint="default" w:ascii="仿宋_GB2312" w:hAnsi="仿宋_GB2312" w:eastAsia="仿宋_GB2312" w:cs="仿宋_GB2312"/>
          <w:color w:val="auto"/>
          <w:sz w:val="32"/>
          <w:szCs w:val="32"/>
          <w:highlight w:val="none"/>
        </w:rPr>
        <w:t>工程</w:t>
      </w:r>
      <w:r>
        <w:rPr>
          <w:rFonts w:hint="eastAsia" w:ascii="仿宋_GB2312" w:hAnsi="仿宋_GB2312" w:eastAsia="仿宋_GB2312" w:cs="仿宋_GB2312"/>
          <w:color w:val="auto"/>
          <w:sz w:val="32"/>
          <w:szCs w:val="32"/>
          <w:highlight w:val="none"/>
        </w:rPr>
        <w:t>；</w:t>
      </w:r>
    </w:p>
    <w:p>
      <w:pPr>
        <w:keepNext w:val="0"/>
        <w:keepLines w:val="0"/>
        <w:pageBreakBefore w:val="0"/>
        <w:widowControl w:val="0"/>
        <w:wordWrap/>
        <w:topLinePunct w:val="0"/>
        <w:bidi w:val="0"/>
        <w:spacing w:beforeAutospacing="0" w:afterAutospacing="0" w:line="560" w:lineRule="exact"/>
        <w:ind w:left="0" w:leftChars="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七</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建筑信息模型（</w:t>
      </w:r>
      <w:r>
        <w:rPr>
          <w:rFonts w:hint="eastAsia" w:ascii="仿宋_GB2312" w:hAnsi="仿宋_GB2312" w:eastAsia="仿宋_GB2312" w:cs="仿宋_GB2312"/>
          <w:color w:val="auto"/>
          <w:sz w:val="32"/>
          <w:szCs w:val="32"/>
          <w:highlight w:val="none"/>
          <w:lang w:val="en-US" w:eastAsia="zh-CN"/>
        </w:rPr>
        <w:t>BIM</w:t>
      </w:r>
      <w:r>
        <w:rPr>
          <w:rFonts w:hint="eastAsia" w:ascii="仿宋_GB2312" w:hAnsi="仿宋_GB2312" w:eastAsia="仿宋_GB2312" w:cs="仿宋_GB2312"/>
          <w:color w:val="auto"/>
          <w:sz w:val="32"/>
          <w:szCs w:val="32"/>
          <w:highlight w:val="none"/>
          <w:lang w:eastAsia="zh-CN"/>
        </w:rPr>
        <w:t>）应用</w:t>
      </w:r>
      <w:r>
        <w:rPr>
          <w:rFonts w:hint="eastAsia" w:ascii="仿宋_GB2312" w:hAnsi="仿宋_GB2312" w:eastAsia="仿宋_GB2312" w:cs="仿宋_GB2312"/>
          <w:color w:val="auto"/>
          <w:sz w:val="32"/>
          <w:szCs w:val="32"/>
          <w:highlight w:val="none"/>
          <w:lang w:val="en-US" w:eastAsia="zh-CN"/>
        </w:rPr>
        <w:t>示范</w:t>
      </w:r>
      <w:r>
        <w:rPr>
          <w:rFonts w:hint="default" w:ascii="仿宋_GB2312" w:hAnsi="仿宋_GB2312" w:eastAsia="仿宋_GB2312" w:cs="仿宋_GB2312"/>
          <w:color w:val="auto"/>
          <w:sz w:val="32"/>
          <w:szCs w:val="32"/>
          <w:highlight w:val="none"/>
          <w:lang w:eastAsia="zh-CN"/>
        </w:rPr>
        <w:t>工程</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wordWrap/>
        <w:topLinePunct w:val="0"/>
        <w:bidi w:val="0"/>
        <w:spacing w:beforeAutospacing="0" w:afterAutospacing="0" w:line="560" w:lineRule="exact"/>
        <w:ind w:left="0" w:leftChars="0" w:firstLine="640" w:firstLineChars="200"/>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eastAsia="zh-CN"/>
        </w:rPr>
        <w:t>（</w:t>
      </w:r>
      <w:r>
        <w:rPr>
          <w:rFonts w:hint="eastAsia" w:ascii="仿宋_GB2312" w:hAnsi="仿宋_GB2312" w:eastAsia="仿宋_GB2312" w:cs="仿宋_GB2312"/>
          <w:b w:val="0"/>
          <w:bCs/>
          <w:color w:val="auto"/>
          <w:sz w:val="32"/>
          <w:szCs w:val="32"/>
          <w:highlight w:val="none"/>
          <w:lang w:val="en-US" w:eastAsia="zh-CN"/>
        </w:rPr>
        <w:t>八</w:t>
      </w:r>
      <w:r>
        <w:rPr>
          <w:rFonts w:hint="eastAsia" w:ascii="仿宋_GB2312" w:hAnsi="仿宋_GB2312" w:eastAsia="仿宋_GB2312" w:cs="仿宋_GB2312"/>
          <w:b w:val="0"/>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建筑废弃物减排示范</w:t>
      </w:r>
      <w:r>
        <w:rPr>
          <w:rFonts w:hint="default" w:ascii="仿宋_GB2312" w:hAnsi="仿宋_GB2312" w:eastAsia="仿宋_GB2312" w:cs="仿宋_GB2312"/>
          <w:bCs/>
          <w:color w:val="auto"/>
          <w:sz w:val="32"/>
          <w:szCs w:val="32"/>
          <w:highlight w:val="none"/>
        </w:rPr>
        <w:t>工程</w:t>
      </w:r>
      <w:r>
        <w:rPr>
          <w:rFonts w:hint="eastAsia" w:ascii="仿宋_GB2312" w:hAnsi="仿宋_GB2312" w:eastAsia="仿宋_GB2312" w:cs="仿宋_GB2312"/>
          <w:b w:val="0"/>
          <w:bCs/>
          <w:color w:val="auto"/>
          <w:sz w:val="32"/>
          <w:szCs w:val="32"/>
          <w:highlight w:val="none"/>
          <w:lang w:val="en-US" w:eastAsia="zh-CN"/>
        </w:rPr>
        <w:t>；</w:t>
      </w:r>
    </w:p>
    <w:p>
      <w:pPr>
        <w:keepNext w:val="0"/>
        <w:keepLines w:val="0"/>
        <w:pageBreakBefore w:val="0"/>
        <w:widowControl w:val="0"/>
        <w:wordWrap/>
        <w:topLinePunct w:val="0"/>
        <w:bidi w:val="0"/>
        <w:spacing w:beforeAutospacing="0" w:afterAutospacing="0" w:line="560" w:lineRule="exact"/>
        <w:ind w:left="0" w:leftChars="0" w:firstLine="640" w:firstLineChars="200"/>
        <w:rPr>
          <w:rFonts w:hint="default"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（九）优秀物业管理项目</w:t>
      </w:r>
      <w:r>
        <w:rPr>
          <w:rFonts w:hint="eastAsia" w:ascii="仿宋_GB2312" w:hAnsi="仿宋_GB2312" w:eastAsia="仿宋_GB2312" w:cs="仿宋_GB2312"/>
          <w:bCs/>
          <w:color w:val="auto"/>
          <w:sz w:val="32"/>
          <w:szCs w:val="32"/>
          <w:highlight w:val="none"/>
          <w:lang w:eastAsia="zh-CN"/>
        </w:rPr>
        <w:t>。</w:t>
      </w:r>
    </w:p>
    <w:p>
      <w:pPr>
        <w:keepNext w:val="0"/>
        <w:keepLines w:val="0"/>
        <w:pageBreakBefore w:val="0"/>
        <w:widowControl w:val="0"/>
        <w:wordWrap/>
        <w:topLinePunct w:val="0"/>
        <w:bidi w:val="0"/>
        <w:spacing w:beforeAutospacing="0" w:afterAutospacing="0" w:line="560" w:lineRule="exact"/>
        <w:ind w:left="0" w:leftChars="0" w:firstLine="643" w:firstLineChars="200"/>
        <w:rPr>
          <w:rFonts w:hint="eastAsia" w:ascii="宋体" w:hAnsi="宋体" w:eastAsia="宋体" w:cs="宋体"/>
          <w:color w:val="auto"/>
          <w:kern w:val="0"/>
          <w:sz w:val="28"/>
          <w:szCs w:val="28"/>
          <w:highlight w:val="none"/>
        </w:rPr>
      </w:pPr>
      <w:r>
        <w:rPr>
          <w:rFonts w:hint="eastAsia" w:ascii="楷体_GB2312" w:hAnsi="Times New Roman" w:eastAsia="楷体_GB2312" w:cs="Times New Roman"/>
          <w:b/>
          <w:bCs/>
          <w:highlight w:val="none"/>
        </w:rPr>
        <w:t>第</w:t>
      </w:r>
      <w:r>
        <w:rPr>
          <w:rFonts w:hint="eastAsia" w:ascii="楷体_GB2312" w:hAnsi="Times New Roman" w:eastAsia="楷体_GB2312" w:cs="Times New Roman"/>
          <w:b/>
          <w:bCs/>
          <w:highlight w:val="none"/>
          <w:lang w:eastAsia="zh-CN"/>
        </w:rPr>
        <w:t>四</w:t>
      </w:r>
      <w:r>
        <w:rPr>
          <w:rFonts w:hint="eastAsia" w:ascii="楷体_GB2312" w:hAnsi="Times New Roman" w:eastAsia="楷体_GB2312" w:cs="Times New Roman"/>
          <w:b/>
          <w:bCs/>
          <w:highlight w:val="none"/>
        </w:rPr>
        <w:t xml:space="preserve">条 </w:t>
      </w:r>
      <w:r>
        <w:rPr>
          <w:rFonts w:hint="eastAsia" w:ascii="仿宋_GB2312" w:hAnsi="仿宋_GB2312" w:eastAsia="仿宋_GB2312" w:cs="仿宋_GB2312"/>
          <w:color w:val="auto"/>
          <w:sz w:val="32"/>
          <w:szCs w:val="32"/>
          <w:highlight w:val="none"/>
        </w:rPr>
        <w:t xml:space="preserve"> 资助标准</w:t>
      </w:r>
    </w:p>
    <w:p>
      <w:pPr>
        <w:keepNext w:val="0"/>
        <w:keepLines w:val="0"/>
        <w:pageBreakBefore w:val="0"/>
        <w:widowControl w:val="0"/>
        <w:wordWrap/>
        <w:topLinePunct w:val="0"/>
        <w:bidi w:val="0"/>
        <w:spacing w:beforeAutospacing="0" w:afterAutospacing="0" w:line="560" w:lineRule="exact"/>
        <w:ind w:left="0" w:leftChars="0" w:firstLine="643" w:firstLineChars="200"/>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（一）优质建筑业企业</w:t>
      </w:r>
    </w:p>
    <w:p>
      <w:pPr>
        <w:keepNext w:val="0"/>
        <w:keepLines w:val="0"/>
        <w:pageBreakBefore w:val="0"/>
        <w:widowControl w:val="0"/>
        <w:wordWrap/>
        <w:topLinePunct w:val="0"/>
        <w:bidi w:val="0"/>
        <w:spacing w:beforeAutospacing="0" w:afterAutospacing="0" w:line="560" w:lineRule="exact"/>
        <w:ind w:left="0" w:leftChars="0"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对新迁入南山区</w:t>
      </w:r>
      <w:r>
        <w:rPr>
          <w:rFonts w:hint="eastAsia" w:ascii="仿宋_GB2312" w:hAnsi="仿宋_GB2312" w:eastAsia="仿宋_GB2312" w:cs="仿宋_GB2312"/>
          <w:color w:val="auto"/>
          <w:sz w:val="32"/>
          <w:szCs w:val="32"/>
          <w:highlight w:val="none"/>
          <w:lang w:val="en-US" w:eastAsia="zh-CN"/>
        </w:rPr>
        <w:t>或注册在南山区新取得施工总承包特级（综合）</w:t>
      </w:r>
      <w:r>
        <w:rPr>
          <w:rFonts w:hint="eastAsia" w:ascii="仿宋_GB2312" w:hAnsi="仿宋_GB2312" w:eastAsia="仿宋_GB2312" w:cs="仿宋_GB2312"/>
          <w:color w:val="auto"/>
          <w:sz w:val="32"/>
          <w:szCs w:val="32"/>
          <w:highlight w:val="none"/>
        </w:rPr>
        <w:t>的建筑业企业给予一次性</w:t>
      </w:r>
      <w:r>
        <w:rPr>
          <w:rFonts w:hint="eastAsia" w:ascii="仿宋_GB2312" w:hAnsi="仿宋_GB2312" w:eastAsia="仿宋_GB2312" w:cs="仿宋_GB2312"/>
          <w:color w:val="auto"/>
          <w:sz w:val="32"/>
          <w:szCs w:val="32"/>
          <w:highlight w:val="none"/>
          <w:lang w:val="en-US" w:eastAsia="zh-CN"/>
        </w:rPr>
        <w:t>600</w:t>
      </w:r>
      <w:r>
        <w:rPr>
          <w:rFonts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rPr>
        <w:t>资助</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施工总承包一级资质</w:t>
      </w:r>
      <w:r>
        <w:rPr>
          <w:rFonts w:hint="eastAsia" w:ascii="仿宋_GB2312" w:hAnsi="仿宋_GB2312" w:eastAsia="仿宋_GB2312" w:cs="仿宋_GB2312"/>
          <w:color w:val="auto"/>
          <w:sz w:val="32"/>
          <w:szCs w:val="32"/>
          <w:highlight w:val="none"/>
        </w:rPr>
        <w:t>给予一次性</w:t>
      </w:r>
      <w:r>
        <w:rPr>
          <w:rFonts w:hint="eastAsia" w:ascii="仿宋_GB2312" w:hAnsi="仿宋_GB2312" w:eastAsia="仿宋_GB2312" w:cs="仿宋_GB2312"/>
          <w:color w:val="auto"/>
          <w:sz w:val="32"/>
          <w:szCs w:val="32"/>
          <w:highlight w:val="none"/>
          <w:lang w:val="en-US" w:eastAsia="zh-CN"/>
        </w:rPr>
        <w:t>200万元</w:t>
      </w:r>
      <w:r>
        <w:rPr>
          <w:rFonts w:ascii="仿宋_GB2312" w:hAnsi="仿宋_GB2312" w:eastAsia="仿宋_GB2312" w:cs="仿宋_GB2312"/>
          <w:color w:val="auto"/>
          <w:sz w:val="32"/>
          <w:szCs w:val="32"/>
          <w:highlight w:val="none"/>
        </w:rPr>
        <w:t>的</w:t>
      </w:r>
      <w:r>
        <w:rPr>
          <w:rFonts w:hint="eastAsia" w:ascii="仿宋_GB2312" w:hAnsi="仿宋_GB2312" w:eastAsia="仿宋_GB2312" w:cs="仿宋_GB2312"/>
          <w:color w:val="auto"/>
          <w:sz w:val="32"/>
          <w:szCs w:val="32"/>
          <w:highlight w:val="none"/>
        </w:rPr>
        <w:t>资助</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wordWrap/>
        <w:topLinePunct w:val="0"/>
        <w:bidi w:val="0"/>
        <w:spacing w:beforeAutospacing="0" w:afterAutospacing="0" w:line="560" w:lineRule="exact"/>
        <w:ind w:left="0" w:leftChars="0" w:firstLine="643" w:firstLineChars="200"/>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二</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创新发展工程建设企业</w:t>
      </w:r>
    </w:p>
    <w:p>
      <w:pPr>
        <w:keepNext w:val="0"/>
        <w:keepLines w:val="0"/>
        <w:pageBreakBefore w:val="0"/>
        <w:widowControl w:val="0"/>
        <w:wordWrap/>
        <w:topLinePunct w:val="0"/>
        <w:bidi w:val="0"/>
        <w:spacing w:beforeAutospacing="0" w:afterAutospacing="0" w:line="560" w:lineRule="exact"/>
        <w:ind w:left="0" w:leftChars="0" w:firstLine="640" w:firstLineChars="200"/>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对</w:t>
      </w:r>
      <w:r>
        <w:rPr>
          <w:rFonts w:hint="eastAsia" w:ascii="仿宋_GB2312" w:hAnsi="仿宋_GB2312" w:eastAsia="仿宋_GB2312" w:cs="仿宋_GB2312"/>
          <w:color w:val="auto"/>
          <w:sz w:val="32"/>
          <w:szCs w:val="32"/>
          <w:highlight w:val="none"/>
          <w:lang w:val="en-US" w:eastAsia="zh-CN"/>
        </w:rPr>
        <w:t>新</w:t>
      </w:r>
      <w:r>
        <w:rPr>
          <w:rFonts w:hint="eastAsia" w:ascii="仿宋_GB2312" w:hAnsi="仿宋_GB2312" w:eastAsia="仿宋_GB2312" w:cs="仿宋_GB2312"/>
          <w:color w:val="auto"/>
          <w:sz w:val="32"/>
          <w:szCs w:val="32"/>
          <w:highlight w:val="none"/>
        </w:rPr>
        <w:t>迁入</w:t>
      </w:r>
      <w:r>
        <w:rPr>
          <w:rFonts w:hint="eastAsia" w:ascii="仿宋_GB2312" w:hAnsi="仿宋_GB2312" w:eastAsia="仿宋_GB2312" w:cs="仿宋_GB2312"/>
          <w:color w:val="auto"/>
          <w:sz w:val="32"/>
          <w:szCs w:val="32"/>
          <w:highlight w:val="none"/>
          <w:lang w:val="en-US" w:eastAsia="zh-CN"/>
        </w:rPr>
        <w:t>南山</w:t>
      </w:r>
      <w:r>
        <w:rPr>
          <w:rFonts w:hint="eastAsia" w:ascii="仿宋_GB2312" w:hAnsi="仿宋_GB2312" w:eastAsia="仿宋_GB2312" w:cs="仿宋_GB2312"/>
          <w:color w:val="auto"/>
          <w:sz w:val="32"/>
          <w:szCs w:val="32"/>
          <w:highlight w:val="none"/>
        </w:rPr>
        <w:t>区或在注册</w:t>
      </w:r>
      <w:r>
        <w:rPr>
          <w:rFonts w:hint="eastAsia" w:ascii="仿宋_GB2312" w:hAnsi="仿宋_GB2312" w:eastAsia="仿宋_GB2312" w:cs="仿宋_GB2312"/>
          <w:color w:val="auto"/>
          <w:sz w:val="32"/>
          <w:szCs w:val="32"/>
          <w:highlight w:val="none"/>
          <w:lang w:val="en-US" w:eastAsia="zh-CN"/>
        </w:rPr>
        <w:t>在南山区</w:t>
      </w:r>
      <w:r>
        <w:rPr>
          <w:rFonts w:hint="eastAsia" w:ascii="仿宋_GB2312" w:hAnsi="仿宋_GB2312" w:eastAsia="仿宋_GB2312" w:cs="仿宋_GB2312"/>
          <w:color w:val="auto"/>
          <w:sz w:val="32"/>
          <w:szCs w:val="32"/>
          <w:highlight w:val="none"/>
        </w:rPr>
        <w:t>新认定为国家、省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深圳市</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级</w:t>
      </w:r>
      <w:r>
        <w:rPr>
          <w:rFonts w:hint="eastAsia" w:ascii="仿宋_GB2312" w:hAnsi="仿宋_GB2312" w:eastAsia="仿宋_GB2312" w:cs="仿宋_GB2312"/>
          <w:color w:val="auto"/>
          <w:sz w:val="32"/>
          <w:szCs w:val="32"/>
          <w:highlight w:val="none"/>
        </w:rPr>
        <w:t>企业技术中心的</w:t>
      </w:r>
      <w:r>
        <w:rPr>
          <w:rFonts w:hint="eastAsia" w:ascii="仿宋_GB2312" w:hAnsi="仿宋_GB2312" w:eastAsia="仿宋_GB2312" w:cs="仿宋_GB2312"/>
          <w:color w:val="auto"/>
          <w:sz w:val="32"/>
          <w:szCs w:val="32"/>
          <w:highlight w:val="none"/>
          <w:lang w:val="en-US" w:eastAsia="zh-CN"/>
        </w:rPr>
        <w:t>工程建设</w:t>
      </w:r>
      <w:r>
        <w:rPr>
          <w:rFonts w:hint="eastAsia" w:ascii="仿宋_GB2312" w:hAnsi="仿宋_GB2312" w:eastAsia="仿宋_GB2312" w:cs="仿宋_GB2312"/>
          <w:color w:val="auto"/>
          <w:sz w:val="32"/>
          <w:szCs w:val="32"/>
          <w:highlight w:val="none"/>
        </w:rPr>
        <w:t>企业，分别</w:t>
      </w:r>
      <w:r>
        <w:rPr>
          <w:rFonts w:hint="eastAsia" w:ascii="仿宋_GB2312" w:hAnsi="仿宋_GB2312" w:eastAsia="仿宋_GB2312" w:cs="仿宋_GB2312"/>
          <w:color w:val="auto"/>
          <w:sz w:val="32"/>
          <w:szCs w:val="32"/>
          <w:highlight w:val="none"/>
          <w:lang w:val="en-US" w:eastAsia="zh-CN"/>
        </w:rPr>
        <w:t>给予2</w:t>
      </w:r>
      <w:r>
        <w:rPr>
          <w:rFonts w:hint="eastAsia" w:ascii="仿宋_GB2312" w:hAnsi="仿宋_GB2312" w:eastAsia="仿宋_GB2312" w:cs="仿宋_GB2312"/>
          <w:color w:val="auto"/>
          <w:sz w:val="32"/>
          <w:szCs w:val="32"/>
          <w:highlight w:val="none"/>
        </w:rPr>
        <w:t>00万元、</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00万元</w:t>
      </w:r>
      <w:r>
        <w:rPr>
          <w:rFonts w:hint="eastAsia" w:ascii="仿宋_GB2312" w:hAnsi="仿宋_GB2312" w:eastAsia="仿宋_GB2312" w:cs="仿宋_GB2312"/>
          <w:color w:val="auto"/>
          <w:sz w:val="32"/>
          <w:szCs w:val="32"/>
          <w:highlight w:val="none"/>
          <w:lang w:val="en-US" w:eastAsia="zh-CN"/>
        </w:rPr>
        <w:t>的一次性资助</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本条政策资助对象包含勘察、设计、施工、监理、工程咨询等建筑行业的企业。</w:t>
      </w:r>
    </w:p>
    <w:p>
      <w:pPr>
        <w:keepNext w:val="0"/>
        <w:keepLines w:val="0"/>
        <w:pageBreakBefore w:val="0"/>
        <w:widowControl w:val="0"/>
        <w:wordWrap/>
        <w:topLinePunct w:val="0"/>
        <w:bidi w:val="0"/>
        <w:spacing w:beforeAutospacing="0" w:afterAutospacing="0" w:line="560" w:lineRule="exact"/>
        <w:ind w:left="0" w:leftChars="0"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2.对新迁入南山区的工程建设领域</w:t>
      </w:r>
      <w:r>
        <w:rPr>
          <w:rFonts w:hint="eastAsia" w:ascii="仿宋_GB2312" w:hAnsi="仿宋_GB2312" w:eastAsia="仿宋_GB2312" w:cs="仿宋_GB2312"/>
          <w:color w:val="auto"/>
          <w:sz w:val="32"/>
          <w:szCs w:val="32"/>
          <w:highlight w:val="none"/>
        </w:rPr>
        <w:t>国家</w:t>
      </w:r>
      <w:r>
        <w:rPr>
          <w:rFonts w:hint="eastAsia" w:ascii="仿宋_GB2312" w:hAnsi="仿宋_GB2312" w:eastAsia="仿宋_GB2312" w:cs="仿宋_GB2312"/>
          <w:color w:val="auto"/>
          <w:sz w:val="32"/>
          <w:szCs w:val="32"/>
          <w:highlight w:val="none"/>
          <w:lang w:val="en-US" w:eastAsia="zh-CN"/>
        </w:rPr>
        <w:t>级</w:t>
      </w:r>
      <w:r>
        <w:rPr>
          <w:rFonts w:hint="eastAsia" w:ascii="仿宋_GB2312" w:hAnsi="仿宋_GB2312" w:eastAsia="仿宋_GB2312" w:cs="仿宋_GB2312"/>
          <w:color w:val="auto"/>
          <w:sz w:val="32"/>
          <w:szCs w:val="32"/>
          <w:highlight w:val="none"/>
        </w:rPr>
        <w:t>高新技术企业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或注册在南山区初次获得国家级高新技术企业荣誉称号的工程建设企业，给予施工类企业一次性100万元的资助，给予勘察、设计、监理、咨询等企业一次性50万元的资助。</w:t>
      </w:r>
    </w:p>
    <w:p>
      <w:pPr>
        <w:keepNext w:val="0"/>
        <w:keepLines w:val="0"/>
        <w:pageBreakBefore w:val="0"/>
        <w:widowControl w:val="0"/>
        <w:wordWrap/>
        <w:topLinePunct w:val="0"/>
        <w:bidi w:val="0"/>
        <w:spacing w:beforeAutospacing="0" w:afterAutospacing="0" w:line="560" w:lineRule="exact"/>
        <w:ind w:left="0" w:leftChars="0"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3.对上年度产值超过10亿元的南山区建筑业企业，其研发费用（不含委外研发费用）不低于企业产值3%的，或研发费用同比增长1亿元以上的，给予企业100万元的一次性资助。</w:t>
      </w:r>
    </w:p>
    <w:p>
      <w:pPr>
        <w:keepNext w:val="0"/>
        <w:keepLines w:val="0"/>
        <w:pageBreakBefore w:val="0"/>
        <w:widowControl w:val="0"/>
        <w:wordWrap/>
        <w:topLinePunct w:val="0"/>
        <w:bidi w:val="0"/>
        <w:spacing w:beforeAutospacing="0" w:afterAutospacing="0" w:line="560" w:lineRule="exact"/>
        <w:ind w:left="0" w:leftChars="0" w:firstLine="643"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val="en-US" w:eastAsia="zh-CN"/>
        </w:rPr>
        <w:t>三</w:t>
      </w:r>
      <w:r>
        <w:rPr>
          <w:rFonts w:hint="eastAsia" w:ascii="仿宋_GB2312" w:hAnsi="仿宋_GB2312" w:eastAsia="仿宋_GB2312" w:cs="仿宋_GB2312"/>
          <w:b/>
          <w:bCs/>
          <w:color w:val="auto"/>
          <w:sz w:val="32"/>
          <w:szCs w:val="32"/>
          <w:highlight w:val="none"/>
        </w:rPr>
        <w:t>）突出业绩建筑业企业</w:t>
      </w:r>
    </w:p>
    <w:p>
      <w:pPr>
        <w:keepNext w:val="0"/>
        <w:keepLines w:val="0"/>
        <w:pageBreakBefore w:val="0"/>
        <w:widowControl w:val="0"/>
        <w:wordWrap/>
        <w:topLinePunct w:val="0"/>
        <w:bidi w:val="0"/>
        <w:spacing w:beforeAutospacing="0" w:afterAutospacing="0" w:line="560" w:lineRule="exact"/>
        <w:ind w:left="0" w:leftChars="0"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1. </w:t>
      </w:r>
      <w:r>
        <w:rPr>
          <w:rFonts w:hint="eastAsia" w:ascii="仿宋_GB2312" w:hAnsi="仿宋_GB2312" w:eastAsia="仿宋_GB2312" w:cs="仿宋_GB2312"/>
          <w:color w:val="auto"/>
          <w:sz w:val="32"/>
          <w:szCs w:val="32"/>
          <w:highlight w:val="none"/>
        </w:rPr>
        <w:t>产值业绩</w:t>
      </w:r>
      <w:r>
        <w:rPr>
          <w:rFonts w:hint="default" w:ascii="仿宋_GB2312" w:hAnsi="仿宋_GB2312" w:eastAsia="仿宋_GB2312" w:cs="仿宋_GB2312"/>
          <w:color w:val="auto"/>
          <w:sz w:val="32"/>
          <w:szCs w:val="32"/>
          <w:highlight w:val="none"/>
        </w:rPr>
        <w:t>突出</w:t>
      </w:r>
      <w:r>
        <w:rPr>
          <w:rFonts w:hint="eastAsia" w:ascii="仿宋_GB2312" w:hAnsi="仿宋_GB2312" w:eastAsia="仿宋_GB2312" w:cs="仿宋_GB2312"/>
          <w:color w:val="auto"/>
          <w:sz w:val="32"/>
          <w:szCs w:val="32"/>
          <w:highlight w:val="none"/>
        </w:rPr>
        <w:t>企业</w:t>
      </w:r>
    </w:p>
    <w:p>
      <w:pPr>
        <w:keepNext w:val="0"/>
        <w:keepLines w:val="0"/>
        <w:pageBreakBefore w:val="0"/>
        <w:widowControl w:val="0"/>
        <w:wordWrap/>
        <w:topLinePunct w:val="0"/>
        <w:bidi w:val="0"/>
        <w:spacing w:beforeAutospacing="0" w:afterAutospacing="0" w:line="560" w:lineRule="exact"/>
        <w:ind w:left="0" w:leftChars="0"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对上年度</w:t>
      </w:r>
      <w:r>
        <w:rPr>
          <w:rFonts w:hint="eastAsia" w:ascii="仿宋_GB2312" w:hAnsi="仿宋_GB2312" w:eastAsia="仿宋_GB2312" w:cs="仿宋_GB2312"/>
          <w:color w:val="auto"/>
          <w:sz w:val="32"/>
          <w:szCs w:val="32"/>
          <w:highlight w:val="none"/>
          <w:lang w:val="en-US" w:eastAsia="zh-CN"/>
        </w:rPr>
        <w:t>产值符合如下标准的</w:t>
      </w:r>
      <w:r>
        <w:rPr>
          <w:rFonts w:hint="eastAsia" w:ascii="仿宋_GB2312" w:hAnsi="仿宋_GB2312" w:eastAsia="仿宋_GB2312" w:cs="仿宋_GB2312"/>
          <w:color w:val="auto"/>
          <w:sz w:val="32"/>
          <w:szCs w:val="32"/>
          <w:highlight w:val="none"/>
        </w:rPr>
        <w:t>南山区</w:t>
      </w:r>
      <w:r>
        <w:rPr>
          <w:rFonts w:hint="eastAsia" w:ascii="仿宋_GB2312" w:hAnsi="仿宋_GB2312" w:eastAsia="仿宋_GB2312" w:cs="仿宋_GB2312"/>
          <w:color w:val="auto"/>
          <w:sz w:val="32"/>
          <w:szCs w:val="32"/>
          <w:highlight w:val="none"/>
          <w:lang w:val="en-US" w:eastAsia="zh-CN"/>
        </w:rPr>
        <w:t>规上</w:t>
      </w:r>
      <w:r>
        <w:rPr>
          <w:rFonts w:hint="eastAsia" w:ascii="仿宋_GB2312" w:hAnsi="仿宋_GB2312" w:eastAsia="仿宋_GB2312" w:cs="仿宋_GB2312"/>
          <w:color w:val="auto"/>
          <w:sz w:val="32"/>
          <w:szCs w:val="32"/>
          <w:highlight w:val="none"/>
        </w:rPr>
        <w:t>建筑业企业，给予</w:t>
      </w:r>
      <w:r>
        <w:rPr>
          <w:rFonts w:hint="eastAsia" w:ascii="仿宋_GB2312" w:hAnsi="仿宋_GB2312" w:eastAsia="仿宋_GB2312" w:cs="仿宋_GB2312"/>
          <w:color w:val="auto"/>
          <w:sz w:val="32"/>
          <w:szCs w:val="32"/>
          <w:highlight w:val="none"/>
          <w:lang w:val="en-US" w:eastAsia="zh-CN"/>
        </w:rPr>
        <w:t>相应</w:t>
      </w:r>
      <w:r>
        <w:rPr>
          <w:rFonts w:hint="eastAsia" w:ascii="仿宋_GB2312" w:hAnsi="仿宋_GB2312" w:eastAsia="仿宋_GB2312" w:cs="仿宋_GB2312"/>
          <w:color w:val="auto"/>
          <w:sz w:val="32"/>
          <w:szCs w:val="32"/>
          <w:highlight w:val="none"/>
        </w:rPr>
        <w:t>资助</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wordWrap/>
        <w:topLinePunct w:val="0"/>
        <w:bidi w:val="0"/>
        <w:spacing w:beforeAutospacing="0" w:afterAutospacing="0" w:line="560" w:lineRule="exact"/>
        <w:ind w:left="0" w:leftChars="0"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10亿≤上年度产值＜50亿，上一年度产值增速</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40</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给予50万元的一次性资助</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wordWrap/>
        <w:topLinePunct w:val="0"/>
        <w:bidi w:val="0"/>
        <w:spacing w:beforeAutospacing="0" w:afterAutospacing="0" w:line="560" w:lineRule="exact"/>
        <w:ind w:left="0" w:leftChars="0"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50亿≤上年度产值＜100亿，上一年度产值增速</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30</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给予100万元的一次性资助</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wordWrap/>
        <w:topLinePunct w:val="0"/>
        <w:bidi w:val="0"/>
        <w:spacing w:beforeAutospacing="0" w:afterAutospacing="0" w:line="560" w:lineRule="exact"/>
        <w:ind w:left="0" w:leftChars="0"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100亿≤上年度产值＜200亿，上一年度产值增速</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给予200万元的一次性资助</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1"/>
          <w:numId w:val="0"/>
        </w:numPr>
        <w:wordWrap/>
        <w:topLinePunct w:val="0"/>
        <w:bidi w:val="0"/>
        <w:spacing w:beforeAutospacing="0" w:afterAutospacing="0" w:line="560" w:lineRule="exact"/>
        <w:ind w:left="0" w:leftChars="0"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200亿≤上年度产值，上一年度产值增速</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10</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给予300万元的一次性资助</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1"/>
          <w:numId w:val="0"/>
        </w:numPr>
        <w:wordWrap/>
        <w:topLinePunct w:val="0"/>
        <w:bidi w:val="0"/>
        <w:spacing w:beforeAutospacing="0" w:afterAutospacing="0" w:line="560" w:lineRule="exact"/>
        <w:ind w:left="0" w:leftChars="0"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2.产值业绩突出项目</w:t>
      </w:r>
    </w:p>
    <w:p>
      <w:pPr>
        <w:keepNext w:val="0"/>
        <w:keepLines w:val="0"/>
        <w:pageBreakBefore w:val="0"/>
        <w:widowControl w:val="0"/>
        <w:numPr>
          <w:ilvl w:val="0"/>
          <w:numId w:val="0"/>
        </w:numPr>
        <w:wordWrap/>
        <w:topLinePunct w:val="0"/>
        <w:bidi w:val="0"/>
        <w:spacing w:beforeAutospacing="0" w:afterAutospacing="0" w:line="560" w:lineRule="exact"/>
        <w:ind w:left="0" w:leftChars="0"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对南山区建筑业产值或科学研究和技术服务业营收有突出贡献的南山区建设工程项目，合同内容履约完成后，按以下标准给予一次性资助：</w:t>
      </w:r>
    </w:p>
    <w:p>
      <w:pPr>
        <w:keepNext w:val="0"/>
        <w:keepLines w:val="0"/>
        <w:pageBreakBefore w:val="0"/>
        <w:widowControl w:val="0"/>
        <w:numPr>
          <w:ilvl w:val="-1"/>
          <w:numId w:val="0"/>
        </w:numPr>
        <w:wordWrap/>
        <w:topLinePunct w:val="0"/>
        <w:bidi w:val="0"/>
        <w:spacing w:beforeAutospacing="0" w:afterAutospacing="0" w:line="560" w:lineRule="exact"/>
        <w:ind w:left="0" w:leftChars="0"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（1）施工总承包合同额≥10亿元的，给予建设单位100万元的一次性资助；5亿元≤施工总承包合同额＜10亿元，给予建设单位50万元的一次性资助。</w:t>
      </w:r>
    </w:p>
    <w:p>
      <w:pPr>
        <w:keepNext w:val="0"/>
        <w:keepLines w:val="0"/>
        <w:pageBreakBefore w:val="0"/>
        <w:widowControl w:val="0"/>
        <w:wordWrap/>
        <w:topLinePunct w:val="0"/>
        <w:bidi w:val="0"/>
        <w:spacing w:beforeAutospacing="0" w:afterAutospacing="0" w:line="560" w:lineRule="exact"/>
        <w:ind w:left="0" w:leftChars="0"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（2）专业分包合同额≥5亿元的，给予施工总承包企业50万元的一次性资助；1亿元≤专业分包合同额＜5亿元，给予施工总承包企业30万元的一次性资助。</w:t>
      </w:r>
    </w:p>
    <w:p>
      <w:pPr>
        <w:keepNext w:val="0"/>
        <w:keepLines w:val="0"/>
        <w:pageBreakBefore w:val="0"/>
        <w:widowControl w:val="0"/>
        <w:wordWrap/>
        <w:topLinePunct w:val="0"/>
        <w:bidi w:val="0"/>
        <w:spacing w:beforeAutospacing="0" w:afterAutospacing="0" w:line="560" w:lineRule="exact"/>
        <w:ind w:left="0" w:leftChars="0"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（3）工程服务合同额≥1000万元的，给予建设单位10万元的一次性资助。</w:t>
      </w:r>
    </w:p>
    <w:p>
      <w:pPr>
        <w:keepNext w:val="0"/>
        <w:keepLines w:val="0"/>
        <w:pageBreakBefore w:val="0"/>
        <w:widowControl w:val="0"/>
        <w:wordWrap/>
        <w:topLinePunct w:val="0"/>
        <w:bidi w:val="0"/>
        <w:spacing w:beforeAutospacing="0" w:afterAutospacing="0" w:line="560" w:lineRule="exact"/>
        <w:ind w:left="0" w:leftChars="0"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3.优质建筑工程业绩</w:t>
      </w:r>
      <w:r>
        <w:rPr>
          <w:rFonts w:hint="default" w:ascii="仿宋_GB2312" w:hAnsi="仿宋_GB2312" w:eastAsia="仿宋_GB2312" w:cs="仿宋_GB2312"/>
          <w:color w:val="auto"/>
          <w:sz w:val="32"/>
          <w:szCs w:val="32"/>
          <w:highlight w:val="none"/>
          <w:lang w:eastAsia="zh-CN"/>
        </w:rPr>
        <w:t>突出</w:t>
      </w:r>
      <w:r>
        <w:rPr>
          <w:rFonts w:hint="eastAsia" w:ascii="仿宋_GB2312" w:hAnsi="仿宋_GB2312" w:eastAsia="仿宋_GB2312" w:cs="仿宋_GB2312"/>
          <w:color w:val="auto"/>
          <w:sz w:val="32"/>
          <w:szCs w:val="32"/>
          <w:highlight w:val="none"/>
          <w:lang w:val="en-US" w:eastAsia="zh-CN"/>
        </w:rPr>
        <w:t>企业</w:t>
      </w:r>
    </w:p>
    <w:p>
      <w:pPr>
        <w:keepNext w:val="0"/>
        <w:keepLines w:val="0"/>
        <w:pageBreakBefore w:val="0"/>
        <w:widowControl w:val="0"/>
        <w:wordWrap/>
        <w:topLinePunct w:val="0"/>
        <w:bidi w:val="0"/>
        <w:spacing w:beforeAutospacing="0" w:afterAutospacing="0" w:line="560" w:lineRule="exact"/>
        <w:ind w:left="0" w:leftChars="0"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企业注册地为南山区的建筑业企业，在异地作为总承包施工单位承建的项目获得“中国建设工程鲁班奖”，给予施工总承包企业一次性50万元的资助；在异地作为总承包施工单位承建的项目获得“国家优质工程奖”或“中国土木工程詹天佑奖”的，给予施工总承包企业一次性20万元的资助。</w:t>
      </w:r>
    </w:p>
    <w:p>
      <w:pPr>
        <w:keepNext w:val="0"/>
        <w:keepLines w:val="0"/>
        <w:pageBreakBefore w:val="0"/>
        <w:widowControl w:val="0"/>
        <w:wordWrap/>
        <w:topLinePunct w:val="0"/>
        <w:bidi w:val="0"/>
        <w:spacing w:beforeAutospacing="0" w:afterAutospacing="0" w:line="560" w:lineRule="exact"/>
        <w:ind w:left="0" w:leftChars="0" w:firstLine="643"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val="en-US" w:eastAsia="zh-CN"/>
        </w:rPr>
        <w:t>四</w:t>
      </w:r>
      <w:r>
        <w:rPr>
          <w:rFonts w:hint="eastAsia" w:ascii="仿宋_GB2312" w:hAnsi="仿宋_GB2312" w:eastAsia="仿宋_GB2312" w:cs="仿宋_GB2312"/>
          <w:b/>
          <w:bCs/>
          <w:color w:val="auto"/>
          <w:sz w:val="32"/>
          <w:szCs w:val="32"/>
          <w:highlight w:val="none"/>
        </w:rPr>
        <w:t>）优质建筑工程</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1.施工总承包企业在南山区内承建的项目获得“中国建筑工程鲁班奖”的，给予200万元的一次性资助，施工总承包企业为南山区注册及纳统的企业，则给予300万元的一次性资助；获得“国家优质工程奖”或“中国土木工程詹天佑奖”的，给予150万元的一次性资助，施工总承包企业为南山区注册及纳统的企业，则给予200万元的一次性资助；</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2.建设单位在南山区内投资承建的项目获得“中国建设工程鲁班奖”的，给予30万元的一次性资助；获得“国家优质工程奖”或“中国土木工程詹天佑奖”的，给予20万元的一次性资助；</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3.施工总承包企业在南山区内承建的项目获得国家级“建设工程项目施工安全生产标准化工地”（原国家AAA级安全文明标准化工地）的，给予30万元的一次性资助。</w:t>
      </w:r>
    </w:p>
    <w:p>
      <w:pPr>
        <w:keepNext w:val="0"/>
        <w:keepLines w:val="0"/>
        <w:pageBreakBefore w:val="0"/>
        <w:widowControl w:val="0"/>
        <w:wordWrap/>
        <w:topLinePunct w:val="0"/>
        <w:bidi w:val="0"/>
        <w:spacing w:beforeAutospacing="0" w:afterAutospacing="0" w:line="560" w:lineRule="exact"/>
        <w:ind w:left="0" w:leftChars="0" w:firstLine="643"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val="en-US" w:eastAsia="zh-CN"/>
        </w:rPr>
        <w:t>五</w:t>
      </w:r>
      <w:r>
        <w:rPr>
          <w:rFonts w:hint="eastAsia" w:ascii="仿宋_GB2312" w:hAnsi="仿宋_GB2312" w:eastAsia="仿宋_GB2312" w:cs="仿宋_GB2312"/>
          <w:b/>
          <w:bCs/>
          <w:color w:val="auto"/>
          <w:sz w:val="32"/>
          <w:szCs w:val="32"/>
          <w:highlight w:val="none"/>
        </w:rPr>
        <w:t>）装配式建筑示范工程</w:t>
      </w:r>
    </w:p>
    <w:p>
      <w:pPr>
        <w:keepNext w:val="0"/>
        <w:keepLines w:val="0"/>
        <w:pageBreakBefore w:val="0"/>
        <w:widowControl w:val="0"/>
        <w:wordWrap/>
        <w:topLinePunct w:val="0"/>
        <w:bidi w:val="0"/>
        <w:spacing w:beforeAutospacing="0" w:afterAutospacing="0" w:line="560" w:lineRule="exact"/>
        <w:ind w:left="0" w:leftChars="0"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南山区建筑工程项目</w:t>
      </w:r>
      <w:r>
        <w:rPr>
          <w:rFonts w:hint="eastAsia" w:ascii="仿宋_GB2312" w:hAnsi="仿宋_GB2312" w:eastAsia="仿宋_GB2312" w:cs="仿宋_GB2312"/>
          <w:color w:val="auto"/>
          <w:sz w:val="32"/>
          <w:szCs w:val="32"/>
          <w:highlight w:val="none"/>
          <w:lang w:val="en-US" w:eastAsia="zh-CN"/>
        </w:rPr>
        <w:t>被评为</w:t>
      </w:r>
      <w:r>
        <w:rPr>
          <w:rFonts w:hint="eastAsia" w:ascii="仿宋_GB2312" w:hAnsi="仿宋_GB2312" w:eastAsia="仿宋_GB2312" w:cs="仿宋_GB2312"/>
          <w:color w:val="auto"/>
          <w:sz w:val="32"/>
          <w:szCs w:val="32"/>
          <w:highlight w:val="none"/>
        </w:rPr>
        <w:t>住房和城乡建设部或广东省住房和城乡建设厅装配式示范项目的，</w:t>
      </w:r>
      <w:r>
        <w:rPr>
          <w:rFonts w:ascii="仿宋_GB2312" w:hAnsi="仿宋_GB2312" w:eastAsia="仿宋_GB2312" w:cs="仿宋_GB2312"/>
          <w:color w:val="auto"/>
          <w:sz w:val="32"/>
          <w:szCs w:val="32"/>
          <w:highlight w:val="none"/>
        </w:rPr>
        <w:t>按建筑面积每平方米</w:t>
      </w:r>
      <w:r>
        <w:rPr>
          <w:rFonts w:hint="eastAsia" w:ascii="仿宋_GB2312" w:hAnsi="仿宋_GB2312" w:eastAsia="仿宋_GB2312" w:cs="仿宋_GB2312"/>
          <w:color w:val="auto"/>
          <w:sz w:val="32"/>
          <w:szCs w:val="32"/>
          <w:highlight w:val="none"/>
        </w:rPr>
        <w:t>资助</w:t>
      </w:r>
      <w:r>
        <w:rPr>
          <w:rFonts w:ascii="仿宋_GB2312" w:hAnsi="仿宋_GB2312" w:eastAsia="仿宋_GB2312" w:cs="仿宋_GB2312"/>
          <w:color w:val="auto"/>
          <w:sz w:val="32"/>
          <w:szCs w:val="32"/>
          <w:highlight w:val="none"/>
        </w:rPr>
        <w:t>100元，</w:t>
      </w:r>
      <w:r>
        <w:rPr>
          <w:rFonts w:hint="eastAsia" w:ascii="仿宋_GB2312" w:hAnsi="仿宋_GB2312" w:eastAsia="仿宋_GB2312" w:cs="仿宋_GB2312"/>
          <w:color w:val="auto"/>
          <w:sz w:val="32"/>
          <w:szCs w:val="32"/>
          <w:highlight w:val="none"/>
        </w:rPr>
        <w:t>给予建设单位</w:t>
      </w:r>
      <w:r>
        <w:rPr>
          <w:rFonts w:ascii="仿宋_GB2312" w:hAnsi="仿宋_GB2312" w:eastAsia="仿宋_GB2312" w:cs="仿宋_GB2312"/>
          <w:color w:val="auto"/>
          <w:sz w:val="32"/>
          <w:szCs w:val="32"/>
          <w:highlight w:val="none"/>
        </w:rPr>
        <w:t>单个项目最高</w:t>
      </w:r>
      <w:r>
        <w:rPr>
          <w:rFonts w:hint="eastAsia" w:ascii="仿宋_GB2312" w:hAnsi="仿宋_GB2312" w:eastAsia="仿宋_GB2312" w:cs="仿宋_GB2312"/>
          <w:color w:val="auto"/>
          <w:sz w:val="32"/>
          <w:szCs w:val="32"/>
          <w:highlight w:val="none"/>
        </w:rPr>
        <w:t>资助金额</w:t>
      </w:r>
      <w:r>
        <w:rPr>
          <w:rFonts w:ascii="仿宋_GB2312" w:hAnsi="仿宋_GB2312" w:eastAsia="仿宋_GB2312" w:cs="仿宋_GB2312"/>
          <w:color w:val="auto"/>
          <w:sz w:val="32"/>
          <w:szCs w:val="32"/>
          <w:highlight w:val="none"/>
        </w:rPr>
        <w:t>不超过</w:t>
      </w:r>
      <w:r>
        <w:rPr>
          <w:rFonts w:hint="eastAsia" w:ascii="仿宋_GB2312" w:hAnsi="仿宋_GB2312" w:eastAsia="仿宋_GB2312" w:cs="仿宋_GB2312"/>
          <w:color w:val="auto"/>
          <w:sz w:val="32"/>
          <w:szCs w:val="32"/>
          <w:highlight w:val="none"/>
          <w:lang w:val="en-US" w:eastAsia="zh-CN"/>
        </w:rPr>
        <w:t>2</w:t>
      </w:r>
      <w:r>
        <w:rPr>
          <w:rFonts w:ascii="仿宋_GB2312" w:hAnsi="仿宋_GB2312" w:eastAsia="仿宋_GB2312" w:cs="仿宋_GB2312"/>
          <w:color w:val="auto"/>
          <w:sz w:val="32"/>
          <w:szCs w:val="32"/>
          <w:highlight w:val="none"/>
        </w:rPr>
        <w:t>00万元</w:t>
      </w:r>
      <w:r>
        <w:rPr>
          <w:rFonts w:hint="eastAsia" w:ascii="仿宋_GB2312" w:hAnsi="仿宋_GB2312" w:eastAsia="仿宋_GB2312" w:cs="仿宋_GB2312"/>
          <w:color w:val="auto"/>
          <w:sz w:val="32"/>
          <w:szCs w:val="32"/>
          <w:highlight w:val="none"/>
        </w:rPr>
        <w:t>的资助。</w:t>
      </w:r>
    </w:p>
    <w:p>
      <w:pPr>
        <w:keepNext w:val="0"/>
        <w:keepLines w:val="0"/>
        <w:pageBreakBefore w:val="0"/>
        <w:widowControl w:val="0"/>
        <w:wordWrap/>
        <w:topLinePunct w:val="0"/>
        <w:bidi w:val="0"/>
        <w:spacing w:beforeAutospacing="0" w:afterAutospacing="0" w:line="560" w:lineRule="exact"/>
        <w:ind w:left="0" w:leftChars="0" w:firstLine="643"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val="en-US" w:eastAsia="zh-CN"/>
        </w:rPr>
        <w:t>六</w:t>
      </w:r>
      <w:r>
        <w:rPr>
          <w:rFonts w:hint="eastAsia" w:ascii="仿宋_GB2312" w:hAnsi="仿宋_GB2312" w:eastAsia="仿宋_GB2312" w:cs="仿宋_GB2312"/>
          <w:b/>
          <w:bCs/>
          <w:color w:val="auto"/>
          <w:sz w:val="32"/>
          <w:szCs w:val="32"/>
          <w:highlight w:val="none"/>
        </w:rPr>
        <w:t>）建筑节能及绿色建筑</w:t>
      </w:r>
      <w:r>
        <w:rPr>
          <w:rFonts w:hint="eastAsia" w:ascii="仿宋_GB2312" w:hAnsi="仿宋_GB2312" w:eastAsia="仿宋_GB2312" w:cs="仿宋_GB2312"/>
          <w:b/>
          <w:bCs/>
          <w:color w:val="auto"/>
          <w:sz w:val="32"/>
          <w:szCs w:val="32"/>
          <w:highlight w:val="none"/>
          <w:lang w:val="en-US" w:eastAsia="zh-CN"/>
        </w:rPr>
        <w:t>示范</w:t>
      </w:r>
      <w:r>
        <w:rPr>
          <w:rFonts w:hint="default" w:ascii="仿宋_GB2312" w:hAnsi="仿宋_GB2312" w:eastAsia="仿宋_GB2312" w:cs="仿宋_GB2312"/>
          <w:b/>
          <w:bCs/>
          <w:color w:val="auto"/>
          <w:sz w:val="32"/>
          <w:szCs w:val="32"/>
          <w:highlight w:val="none"/>
          <w:lang w:eastAsia="zh-CN"/>
        </w:rPr>
        <w:t>工程</w:t>
      </w:r>
    </w:p>
    <w:p>
      <w:pPr>
        <w:keepNext w:val="0"/>
        <w:keepLines w:val="0"/>
        <w:pageBreakBefore w:val="0"/>
        <w:widowControl w:val="0"/>
        <w:wordWrap/>
        <w:topLinePunct w:val="0"/>
        <w:bidi w:val="0"/>
        <w:spacing w:beforeAutospacing="0" w:afterAutospacing="0" w:line="560" w:lineRule="exact"/>
        <w:ind w:left="0" w:leftChars="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绿色建筑项目</w:t>
      </w:r>
    </w:p>
    <w:p>
      <w:pPr>
        <w:keepNext w:val="0"/>
        <w:keepLines w:val="0"/>
        <w:pageBreakBefore w:val="0"/>
        <w:widowControl w:val="0"/>
        <w:wordWrap/>
        <w:topLinePunct w:val="0"/>
        <w:bidi w:val="0"/>
        <w:spacing w:beforeAutospacing="0" w:afterAutospacing="0" w:line="560" w:lineRule="exact"/>
        <w:ind w:left="0" w:leftChars="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绿色建筑项目对建设单位予以资助。对获得国家三星级或深圳市铂金级绿色建筑评价标识（不含设计标识）的项目，按建筑面积每平方米资助30元，资助上限为</w:t>
      </w:r>
      <w:r>
        <w:rPr>
          <w:rFonts w:hint="eastAsia" w:ascii="仿宋_GB2312" w:hAnsi="仿宋_GB2312" w:eastAsia="仿宋_GB2312" w:cs="仿宋_GB2312"/>
          <w:color w:val="auto"/>
          <w:sz w:val="32"/>
          <w:szCs w:val="32"/>
          <w:highlight w:val="none"/>
          <w:lang w:val="en-US" w:eastAsia="zh-CN"/>
        </w:rPr>
        <w:t>15</w:t>
      </w:r>
      <w:r>
        <w:rPr>
          <w:rFonts w:hint="eastAsia" w:ascii="仿宋_GB2312" w:hAnsi="仿宋_GB2312" w:eastAsia="仿宋_GB2312" w:cs="仿宋_GB2312"/>
          <w:color w:val="auto"/>
          <w:sz w:val="32"/>
          <w:szCs w:val="32"/>
          <w:highlight w:val="none"/>
        </w:rPr>
        <w:t>0万元。</w:t>
      </w:r>
    </w:p>
    <w:p>
      <w:pPr>
        <w:keepNext w:val="0"/>
        <w:keepLines w:val="0"/>
        <w:pageBreakBefore w:val="0"/>
        <w:widowControl w:val="0"/>
        <w:wordWrap/>
        <w:topLinePunct w:val="0"/>
        <w:bidi w:val="0"/>
        <w:spacing w:beforeAutospacing="0" w:afterAutospacing="0" w:line="560" w:lineRule="exact"/>
        <w:ind w:left="0" w:leftChars="0"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超低能耗或（近）零能耗建筑示范项目</w:t>
      </w:r>
    </w:p>
    <w:p>
      <w:pPr>
        <w:keepNext w:val="0"/>
        <w:keepLines w:val="0"/>
        <w:pageBreakBefore w:val="0"/>
        <w:widowControl w:val="0"/>
        <w:wordWrap/>
        <w:topLinePunct w:val="0"/>
        <w:bidi w:val="0"/>
        <w:spacing w:beforeAutospacing="0" w:afterAutospacing="0" w:line="560" w:lineRule="exact"/>
        <w:ind w:left="0" w:leftChars="0"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超低能耗或（近）零能耗建筑示范项目对建设单位予以资助，对达到现行国家或深圳市超低能耗或（近）零能耗标准，具有良好的社会、环境、经济效益及引领示范效应，且被认定为国家、省、市超低能耗或（近）零能耗示范项目，按建筑面积每平方米资助100元，资助上限为200万元。</w:t>
      </w:r>
    </w:p>
    <w:p>
      <w:pPr>
        <w:keepNext w:val="0"/>
        <w:keepLines w:val="0"/>
        <w:pageBreakBefore w:val="0"/>
        <w:widowControl w:val="0"/>
        <w:wordWrap/>
        <w:topLinePunct w:val="0"/>
        <w:bidi w:val="0"/>
        <w:spacing w:beforeAutospacing="0" w:afterAutospacing="0" w:line="560" w:lineRule="exact"/>
        <w:ind w:left="0" w:leftChars="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既有建筑绿色改造项目</w:t>
      </w:r>
    </w:p>
    <w:p>
      <w:pPr>
        <w:keepNext w:val="0"/>
        <w:keepLines w:val="0"/>
        <w:pageBreakBefore w:val="0"/>
        <w:widowControl w:val="0"/>
        <w:wordWrap/>
        <w:topLinePunct w:val="0"/>
        <w:bidi w:val="0"/>
        <w:spacing w:beforeAutospacing="0" w:afterAutospacing="0" w:line="560" w:lineRule="exact"/>
        <w:ind w:left="0" w:leftChars="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既有建筑绿色改造项目对建设单位予以资助。对获得国家一星级既有建筑绿色改造</w:t>
      </w:r>
      <w:r>
        <w:rPr>
          <w:rFonts w:hint="eastAsia" w:ascii="仿宋_GB2312" w:hAnsi="仿宋_GB2312" w:eastAsia="仿宋_GB2312" w:cs="仿宋_GB2312"/>
          <w:color w:val="auto"/>
          <w:sz w:val="32"/>
          <w:szCs w:val="32"/>
          <w:highlight w:val="none"/>
          <w:lang w:val="en-US" w:eastAsia="zh-CN"/>
        </w:rPr>
        <w:t>运行</w:t>
      </w:r>
      <w:r>
        <w:rPr>
          <w:rFonts w:hint="eastAsia" w:ascii="仿宋_GB2312" w:hAnsi="仿宋_GB2312" w:eastAsia="仿宋_GB2312" w:cs="仿宋_GB2312"/>
          <w:color w:val="auto"/>
          <w:sz w:val="32"/>
          <w:szCs w:val="32"/>
          <w:highlight w:val="none"/>
        </w:rPr>
        <w:t>评价标识的项目，按建筑面积每平方米资助10元，资助上限为</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0万元；对获得国家二星级既有建筑绿色改造</w:t>
      </w:r>
      <w:r>
        <w:rPr>
          <w:rFonts w:hint="eastAsia" w:ascii="仿宋_GB2312" w:hAnsi="仿宋_GB2312" w:eastAsia="仿宋_GB2312" w:cs="仿宋_GB2312"/>
          <w:color w:val="auto"/>
          <w:sz w:val="32"/>
          <w:szCs w:val="32"/>
          <w:highlight w:val="none"/>
          <w:lang w:val="en-US" w:eastAsia="zh-CN"/>
        </w:rPr>
        <w:t>运行</w:t>
      </w:r>
      <w:r>
        <w:rPr>
          <w:rFonts w:hint="eastAsia" w:ascii="仿宋_GB2312" w:hAnsi="仿宋_GB2312" w:eastAsia="仿宋_GB2312" w:cs="仿宋_GB2312"/>
          <w:color w:val="auto"/>
          <w:sz w:val="32"/>
          <w:szCs w:val="32"/>
          <w:highlight w:val="none"/>
        </w:rPr>
        <w:t>评价标识的项目，按建筑面积每平方米资助20元,资助上限为</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0万元；对获得国家三星级既有建筑绿色改造</w:t>
      </w:r>
      <w:r>
        <w:rPr>
          <w:rFonts w:hint="eastAsia" w:ascii="仿宋_GB2312" w:hAnsi="仿宋_GB2312" w:eastAsia="仿宋_GB2312" w:cs="仿宋_GB2312"/>
          <w:color w:val="auto"/>
          <w:sz w:val="32"/>
          <w:szCs w:val="32"/>
          <w:highlight w:val="none"/>
          <w:lang w:val="en-US" w:eastAsia="zh-CN"/>
        </w:rPr>
        <w:t>运行</w:t>
      </w:r>
      <w:r>
        <w:rPr>
          <w:rFonts w:hint="eastAsia" w:ascii="仿宋_GB2312" w:hAnsi="仿宋_GB2312" w:eastAsia="仿宋_GB2312" w:cs="仿宋_GB2312"/>
          <w:color w:val="auto"/>
          <w:sz w:val="32"/>
          <w:szCs w:val="32"/>
          <w:highlight w:val="none"/>
        </w:rPr>
        <w:t>评价标识的项目，按建筑面积每平方米资助</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0元，资助上限为</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0万元。</w:t>
      </w:r>
    </w:p>
    <w:p>
      <w:pPr>
        <w:keepNext w:val="0"/>
        <w:keepLines w:val="0"/>
        <w:pageBreakBefore w:val="0"/>
        <w:widowControl w:val="0"/>
        <w:wordWrap/>
        <w:topLinePunct w:val="0"/>
        <w:bidi w:val="0"/>
        <w:spacing w:beforeAutospacing="0" w:afterAutospacing="0" w:line="560" w:lineRule="exact"/>
        <w:ind w:left="0" w:leftChars="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既有建筑节能改造项目</w:t>
      </w:r>
    </w:p>
    <w:p>
      <w:pPr>
        <w:keepNext w:val="0"/>
        <w:keepLines w:val="0"/>
        <w:pageBreakBefore w:val="0"/>
        <w:widowControl w:val="0"/>
        <w:wordWrap/>
        <w:topLinePunct w:val="0"/>
        <w:bidi w:val="0"/>
        <w:spacing w:beforeAutospacing="0" w:afterAutospacing="0" w:line="560" w:lineRule="exact"/>
        <w:ind w:left="0" w:leftChars="0"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既有建筑节能改造项目对节能改造投资企业予以资助。经</w:t>
      </w:r>
      <w:r>
        <w:rPr>
          <w:rFonts w:hint="eastAsia" w:ascii="仿宋_GB2312" w:hAnsi="Times New Roman" w:eastAsia="仿宋_GB2312" w:cs="仿宋_GB2312"/>
          <w:color w:val="auto"/>
          <w:sz w:val="32"/>
          <w:szCs w:val="32"/>
          <w:highlight w:val="none"/>
          <w:lang w:val="en-US" w:eastAsia="zh-CN"/>
        </w:rPr>
        <w:t>节能评估</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项目节能率不小于15%</w:t>
      </w:r>
      <w:r>
        <w:rPr>
          <w:rFonts w:hint="eastAsia" w:ascii="仿宋_GB2312" w:hAnsi="仿宋_GB2312" w:eastAsia="仿宋_GB2312" w:cs="仿宋_GB2312"/>
          <w:color w:val="auto"/>
          <w:sz w:val="32"/>
          <w:szCs w:val="32"/>
          <w:highlight w:val="none"/>
        </w:rPr>
        <w:t>的节能改造项目，受益面积每平方米资助10元，</w:t>
      </w:r>
      <w:r>
        <w:rPr>
          <w:rFonts w:hint="eastAsia" w:ascii="仿宋_GB2312" w:hAnsi="仿宋_GB2312" w:eastAsia="仿宋_GB2312" w:cs="仿宋_GB2312"/>
          <w:color w:val="auto"/>
          <w:sz w:val="32"/>
          <w:szCs w:val="32"/>
          <w:highlight w:val="none"/>
          <w:lang w:val="en-US" w:eastAsia="zh-CN"/>
        </w:rPr>
        <w:t>项目节能率每增加1%</w:t>
      </w:r>
      <w:r>
        <w:rPr>
          <w:rFonts w:hint="eastAsia" w:ascii="仿宋_GB2312" w:hAnsi="仿宋_GB2312" w:eastAsia="仿宋_GB2312" w:cs="仿宋_GB2312"/>
          <w:color w:val="auto"/>
          <w:sz w:val="32"/>
          <w:szCs w:val="32"/>
          <w:highlight w:val="none"/>
        </w:rPr>
        <w:t>，受益面积每平方米资助增加1元，</w:t>
      </w:r>
      <w:r>
        <w:rPr>
          <w:rFonts w:hint="eastAsia" w:ascii="仿宋_GB2312" w:hAnsi="仿宋_GB2312" w:eastAsia="仿宋_GB2312" w:cs="仿宋_GB2312"/>
          <w:color w:val="auto"/>
          <w:sz w:val="32"/>
          <w:szCs w:val="32"/>
          <w:highlight w:val="none"/>
          <w:lang w:eastAsia="zh-CN"/>
        </w:rPr>
        <w:t>资助金额不超过改造成本的40%，</w:t>
      </w:r>
      <w:r>
        <w:rPr>
          <w:rFonts w:hint="eastAsia" w:ascii="仿宋_GB2312" w:hAnsi="仿宋_GB2312" w:eastAsia="仿宋_GB2312" w:cs="仿宋_GB2312"/>
          <w:color w:val="auto"/>
          <w:sz w:val="32"/>
          <w:szCs w:val="32"/>
          <w:highlight w:val="none"/>
        </w:rPr>
        <w:t>资助上限为60万元</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wordWrap/>
        <w:topLinePunct w:val="0"/>
        <w:bidi w:val="0"/>
        <w:spacing w:beforeAutospacing="0" w:afterAutospacing="0" w:line="560" w:lineRule="exact"/>
        <w:ind w:left="0" w:leftChars="0" w:firstLine="643" w:firstLineChars="200"/>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val="en-US" w:eastAsia="zh-CN"/>
        </w:rPr>
        <w:t>七</w:t>
      </w:r>
      <w:r>
        <w:rPr>
          <w:rFonts w:hint="eastAsia" w:ascii="仿宋_GB2312" w:hAnsi="仿宋_GB2312" w:eastAsia="仿宋_GB2312" w:cs="仿宋_GB2312"/>
          <w:b/>
          <w:bCs/>
          <w:color w:val="auto"/>
          <w:sz w:val="32"/>
          <w:szCs w:val="32"/>
          <w:highlight w:val="none"/>
        </w:rPr>
        <w:t>）建筑信息模型（BIM）应用</w:t>
      </w:r>
      <w:r>
        <w:rPr>
          <w:rFonts w:hint="eastAsia" w:ascii="仿宋_GB2312" w:hAnsi="仿宋_GB2312" w:eastAsia="仿宋_GB2312" w:cs="仿宋_GB2312"/>
          <w:b/>
          <w:bCs/>
          <w:color w:val="auto"/>
          <w:sz w:val="32"/>
          <w:szCs w:val="32"/>
          <w:highlight w:val="none"/>
          <w:lang w:val="en-US" w:eastAsia="zh-CN"/>
        </w:rPr>
        <w:t>示范</w:t>
      </w:r>
      <w:r>
        <w:rPr>
          <w:rFonts w:hint="default" w:ascii="仿宋_GB2312" w:hAnsi="仿宋_GB2312" w:eastAsia="仿宋_GB2312" w:cs="仿宋_GB2312"/>
          <w:b/>
          <w:bCs/>
          <w:color w:val="auto"/>
          <w:sz w:val="32"/>
          <w:szCs w:val="32"/>
          <w:highlight w:val="none"/>
          <w:lang w:eastAsia="zh-CN"/>
        </w:rPr>
        <w:t>工程</w:t>
      </w:r>
    </w:p>
    <w:p>
      <w:pPr>
        <w:keepNext w:val="0"/>
        <w:keepLines w:val="0"/>
        <w:pageBreakBefore w:val="0"/>
        <w:widowControl w:val="0"/>
        <w:wordWrap/>
        <w:topLinePunct w:val="0"/>
        <w:bidi w:val="0"/>
        <w:spacing w:beforeAutospacing="0" w:afterAutospacing="0" w:line="560" w:lineRule="exact"/>
        <w:ind w:left="0" w:leftChars="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对于项目所在地为南山，且符合国家、广东省和深圳市BIM相关标准和要求，经市建设主管部门评定为BIM技术应用示范项目的，按照建筑面积每平方米最高10元的标准予以资助</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单个项目资助金额上限为50万元。同一项目仅资助1次。</w:t>
      </w:r>
    </w:p>
    <w:p>
      <w:pPr>
        <w:keepNext w:val="0"/>
        <w:keepLines w:val="0"/>
        <w:pageBreakBefore w:val="0"/>
        <w:widowControl w:val="0"/>
        <w:wordWrap/>
        <w:topLinePunct w:val="0"/>
        <w:bidi w:val="0"/>
        <w:spacing w:beforeAutospacing="0" w:afterAutospacing="0" w:line="560" w:lineRule="exact"/>
        <w:ind w:left="0" w:leftChars="0" w:firstLine="643" w:firstLineChars="200"/>
        <w:jc w:val="both"/>
        <w:rPr>
          <w:rFonts w:hint="eastAsia" w:ascii="仿宋_GB2312" w:hAnsi="仿宋_GB2312" w:eastAsia="仿宋_GB2312" w:cs="仿宋_GB2312"/>
          <w:b/>
          <w:bCs/>
          <w:i w:val="0"/>
          <w:iCs w:val="0"/>
          <w:caps w:val="0"/>
          <w:color w:val="auto"/>
          <w:spacing w:val="0"/>
          <w:sz w:val="32"/>
          <w:szCs w:val="32"/>
          <w:highlight w:val="none"/>
          <w:shd w:val="clear" w:color="auto" w:fill="FFFFFF"/>
          <w:lang w:eastAsia="zh-CN"/>
        </w:rPr>
      </w:pPr>
      <w:r>
        <w:rPr>
          <w:rFonts w:hint="eastAsia" w:ascii="仿宋_GB2312" w:hAnsi="仿宋_GB2312" w:eastAsia="仿宋_GB2312" w:cs="仿宋_GB2312"/>
          <w:b/>
          <w:bCs/>
          <w:i w:val="0"/>
          <w:iCs w:val="0"/>
          <w:caps w:val="0"/>
          <w:color w:val="auto"/>
          <w:spacing w:val="0"/>
          <w:sz w:val="32"/>
          <w:szCs w:val="32"/>
          <w:highlight w:val="none"/>
          <w:shd w:val="clear" w:color="auto" w:fill="FFFFFF"/>
          <w:lang w:eastAsia="zh-CN"/>
        </w:rPr>
        <w:t>（</w:t>
      </w:r>
      <w:r>
        <w:rPr>
          <w:rFonts w:hint="eastAsia" w:ascii="仿宋_GB2312" w:hAnsi="仿宋_GB2312" w:eastAsia="仿宋_GB2312" w:cs="仿宋_GB2312"/>
          <w:b/>
          <w:bCs/>
          <w:i w:val="0"/>
          <w:iCs w:val="0"/>
          <w:caps w:val="0"/>
          <w:color w:val="auto"/>
          <w:spacing w:val="0"/>
          <w:sz w:val="32"/>
          <w:szCs w:val="32"/>
          <w:highlight w:val="none"/>
          <w:shd w:val="clear" w:color="auto" w:fill="FFFFFF"/>
          <w:lang w:val="en-US" w:eastAsia="zh-CN"/>
        </w:rPr>
        <w:t>八</w:t>
      </w:r>
      <w:r>
        <w:rPr>
          <w:rFonts w:hint="eastAsia" w:ascii="仿宋_GB2312" w:hAnsi="仿宋_GB2312" w:eastAsia="仿宋_GB2312" w:cs="仿宋_GB2312"/>
          <w:b/>
          <w:bCs/>
          <w:i w:val="0"/>
          <w:iCs w:val="0"/>
          <w:caps w:val="0"/>
          <w:color w:val="auto"/>
          <w:spacing w:val="0"/>
          <w:sz w:val="32"/>
          <w:szCs w:val="32"/>
          <w:highlight w:val="none"/>
          <w:shd w:val="clear" w:color="auto" w:fill="FFFFFF"/>
          <w:lang w:eastAsia="zh-CN"/>
        </w:rPr>
        <w:t>）建筑废弃物减排示范</w:t>
      </w:r>
      <w:r>
        <w:rPr>
          <w:rFonts w:hint="default" w:ascii="仿宋_GB2312" w:hAnsi="仿宋_GB2312" w:eastAsia="仿宋_GB2312" w:cs="仿宋_GB2312"/>
          <w:b/>
          <w:bCs/>
          <w:i w:val="0"/>
          <w:iCs w:val="0"/>
          <w:caps w:val="0"/>
          <w:color w:val="auto"/>
          <w:spacing w:val="0"/>
          <w:sz w:val="32"/>
          <w:szCs w:val="32"/>
          <w:highlight w:val="none"/>
          <w:shd w:val="clear" w:color="auto" w:fill="FFFFFF"/>
          <w:lang w:eastAsia="zh-CN"/>
        </w:rPr>
        <w:t>工程</w:t>
      </w:r>
    </w:p>
    <w:p>
      <w:pPr>
        <w:keepNext w:val="0"/>
        <w:keepLines w:val="0"/>
        <w:pageBreakBefore w:val="0"/>
        <w:widowControl w:val="0"/>
        <w:wordWrap/>
        <w:topLinePunct w:val="0"/>
        <w:bidi w:val="0"/>
        <w:spacing w:beforeAutospacing="0" w:afterAutospacing="0" w:line="560" w:lineRule="exact"/>
        <w:ind w:left="0" w:leftChars="0" w:firstLine="640" w:firstLineChars="200"/>
        <w:jc w:val="both"/>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在新建建筑施工现场工程渣土、工程泥浆排放量每万平方米（建筑面积）不高于1.5万立方米或施工现场装修废弃物，或经市建设主管部门评定为建筑废弃物减排示范项目的，按照建筑面积每平方米10元的标准予以建设单位资助，单个项目资助金额不超过50万元。</w:t>
      </w:r>
    </w:p>
    <w:p>
      <w:pPr>
        <w:keepNext w:val="0"/>
        <w:keepLines w:val="0"/>
        <w:pageBreakBefore w:val="0"/>
        <w:widowControl w:val="0"/>
        <w:wordWrap/>
        <w:topLinePunct w:val="0"/>
        <w:bidi w:val="0"/>
        <w:spacing w:beforeAutospacing="0" w:afterAutospacing="0" w:line="560" w:lineRule="exact"/>
        <w:ind w:left="0" w:leftChars="0" w:firstLine="643" w:firstLineChars="200"/>
        <w:jc w:val="both"/>
        <w:rPr>
          <w:rFonts w:hint="default" w:ascii="仿宋_GB2312" w:hAnsi="仿宋_GB2312" w:eastAsia="仿宋_GB2312" w:cs="仿宋_GB2312"/>
          <w:b/>
          <w:bCs w:val="0"/>
          <w:color w:val="auto"/>
          <w:sz w:val="32"/>
          <w:szCs w:val="32"/>
          <w:highlight w:val="none"/>
          <w:lang w:val="en-US"/>
        </w:rPr>
      </w:pPr>
      <w:r>
        <w:rPr>
          <w:rFonts w:hint="eastAsia" w:ascii="仿宋_GB2312" w:hAnsi="仿宋_GB2312" w:eastAsia="仿宋_GB2312" w:cs="仿宋_GB2312"/>
          <w:b/>
          <w:bCs w:val="0"/>
          <w:color w:val="auto"/>
          <w:sz w:val="32"/>
          <w:szCs w:val="32"/>
          <w:highlight w:val="none"/>
          <w:lang w:eastAsia="zh-CN"/>
        </w:rPr>
        <w:t>（</w:t>
      </w:r>
      <w:r>
        <w:rPr>
          <w:rFonts w:hint="eastAsia" w:ascii="仿宋_GB2312" w:hAnsi="仿宋_GB2312" w:eastAsia="仿宋_GB2312" w:cs="仿宋_GB2312"/>
          <w:b/>
          <w:bCs w:val="0"/>
          <w:color w:val="auto"/>
          <w:sz w:val="32"/>
          <w:szCs w:val="32"/>
          <w:highlight w:val="none"/>
          <w:lang w:val="en-US" w:eastAsia="zh-CN"/>
        </w:rPr>
        <w:t>九</w:t>
      </w:r>
      <w:r>
        <w:rPr>
          <w:rFonts w:hint="eastAsia" w:ascii="仿宋_GB2312" w:hAnsi="仿宋_GB2312" w:eastAsia="仿宋_GB2312" w:cs="仿宋_GB2312"/>
          <w:b/>
          <w:bCs w:val="0"/>
          <w:color w:val="auto"/>
          <w:sz w:val="32"/>
          <w:szCs w:val="32"/>
          <w:highlight w:val="none"/>
          <w:lang w:eastAsia="zh-CN"/>
        </w:rPr>
        <w:t>）</w:t>
      </w:r>
      <w:r>
        <w:rPr>
          <w:rFonts w:hint="eastAsia" w:ascii="仿宋_GB2312" w:hAnsi="仿宋_GB2312" w:eastAsia="仿宋_GB2312" w:cs="仿宋_GB2312"/>
          <w:b/>
          <w:bCs w:val="0"/>
          <w:color w:val="auto"/>
          <w:sz w:val="32"/>
          <w:szCs w:val="32"/>
          <w:highlight w:val="none"/>
          <w:lang w:val="en-US" w:eastAsia="zh-CN"/>
        </w:rPr>
        <w:t>优秀物业管理项目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对</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上一年度区级物业服务评价中</w:t>
      </w:r>
      <w:r>
        <w:rPr>
          <w:rFonts w:hint="eastAsia" w:eastAsia="仿宋_GB2312"/>
          <w:color w:val="auto"/>
          <w:sz w:val="32"/>
          <w:szCs w:val="32"/>
          <w:highlight w:val="none"/>
        </w:rPr>
        <w:t>评价较好</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且能够做好信息报送、安全生产、疫情防控和信访维稳等工作的</w:t>
      </w:r>
      <w:r>
        <w:rPr>
          <w:rFonts w:hint="eastAsia" w:ascii="仿宋_GB2312" w:hAnsi="仿宋_GB2312" w:eastAsia="仿宋_GB2312" w:cs="仿宋_GB2312"/>
          <w:color w:val="auto"/>
          <w:sz w:val="32"/>
          <w:szCs w:val="32"/>
          <w:highlight w:val="none"/>
          <w:lang w:val="en-US" w:eastAsia="zh-CN"/>
        </w:rPr>
        <w:t>住宅项目</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住宅小区、城中村、军产房</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进行综合评分</w:t>
      </w:r>
      <w:r>
        <w:rPr>
          <w:rFonts w:hint="eastAsia" w:eastAsia="仿宋_GB2312"/>
          <w:color w:val="auto"/>
          <w:sz w:val="32"/>
          <w:szCs w:val="32"/>
          <w:highlight w:val="none"/>
          <w:lang w:val="en-US" w:eastAsia="zh-CN"/>
        </w:rPr>
        <w:t>，</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对得分在前30%的在管物业项目分档</w:t>
      </w:r>
      <w:r>
        <w:rPr>
          <w:rFonts w:hint="eastAsia" w:ascii="仿宋_GB2312" w:hAnsi="仿宋_GB2312" w:eastAsia="仿宋_GB2312" w:cs="仿宋_GB2312"/>
          <w:i w:val="0"/>
          <w:iCs w:val="0"/>
          <w:caps w:val="0"/>
          <w:color w:val="auto"/>
          <w:spacing w:val="0"/>
          <w:sz w:val="32"/>
          <w:szCs w:val="32"/>
          <w:highlight w:val="none"/>
          <w:shd w:val="clear" w:color="auto" w:fill="FFFFFF"/>
        </w:rPr>
        <w:t>按照</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在管面积</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进行</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资金</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奖励，得分在前5%（含）的，每个项目奖励15万元，得分在5%-15%（含）的，每个项目奖励8万元，得分在15%-30%（含）的，每个项目奖励5万元。</w:t>
      </w:r>
    </w:p>
    <w:p>
      <w:pPr>
        <w:keepNext w:val="0"/>
        <w:keepLines w:val="0"/>
        <w:pageBreakBefore w:val="0"/>
        <w:widowControl w:val="0"/>
        <w:wordWrap/>
        <w:topLinePunct w:val="0"/>
        <w:bidi w:val="0"/>
        <w:spacing w:beforeAutospacing="0" w:afterAutospacing="0" w:line="560" w:lineRule="exact"/>
        <w:ind w:left="0" w:leftChars="0" w:firstLine="643" w:firstLineChars="200"/>
        <w:jc w:val="both"/>
        <w:rPr>
          <w:rFonts w:hint="eastAsia" w:ascii="仿宋_GB2312" w:hAnsi="仿宋_GB2312" w:eastAsia="仿宋_GB2312" w:cs="仿宋_GB2312"/>
          <w:color w:val="auto"/>
          <w:sz w:val="32"/>
          <w:szCs w:val="32"/>
          <w:highlight w:val="none"/>
        </w:rPr>
      </w:pPr>
      <w:r>
        <w:rPr>
          <w:rFonts w:hint="eastAsia" w:ascii="楷体_GB2312" w:hAnsi="Times New Roman" w:eastAsia="楷体_GB2312" w:cs="Times New Roman"/>
          <w:b/>
          <w:bCs/>
          <w:highlight w:val="none"/>
        </w:rPr>
        <w:t>第</w:t>
      </w:r>
      <w:r>
        <w:rPr>
          <w:rFonts w:hint="eastAsia" w:ascii="楷体_GB2312" w:hAnsi="Times New Roman" w:eastAsia="楷体_GB2312" w:cs="Times New Roman"/>
          <w:b/>
          <w:bCs/>
          <w:highlight w:val="none"/>
          <w:lang w:val="en-US" w:eastAsia="zh-CN"/>
        </w:rPr>
        <w:t>五</w:t>
      </w:r>
      <w:r>
        <w:rPr>
          <w:rFonts w:hint="eastAsia" w:ascii="楷体_GB2312" w:hAnsi="Times New Roman" w:eastAsia="楷体_GB2312" w:cs="Times New Roman"/>
          <w:b/>
          <w:bCs/>
          <w:highlight w:val="none"/>
        </w:rPr>
        <w:t xml:space="preserve">条 </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优质建筑业企业、创新发展工程建设企业、突出业绩建筑业企业的</w:t>
      </w:r>
      <w:r>
        <w:rPr>
          <w:rFonts w:hint="eastAsia" w:ascii="仿宋_GB2312" w:hAnsi="仿宋_GB2312" w:eastAsia="仿宋_GB2312" w:cs="仿宋_GB2312"/>
          <w:color w:val="auto"/>
          <w:sz w:val="32"/>
          <w:szCs w:val="32"/>
          <w:highlight w:val="none"/>
        </w:rPr>
        <w:t>申请单位同一年度所获资助金额不超过其上一年度形成的区级地方财力贡献</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新迁入企业除外</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，其余</w:t>
      </w:r>
      <w:r>
        <w:rPr>
          <w:rFonts w:hint="eastAsia" w:ascii="仿宋_GB2312" w:hAnsi="仿宋_GB2312" w:eastAsia="仿宋_GB2312" w:cs="仿宋_GB2312"/>
          <w:color w:val="auto"/>
          <w:sz w:val="32"/>
          <w:szCs w:val="32"/>
          <w:highlight w:val="none"/>
          <w:lang w:val="en-US" w:eastAsia="zh-CN"/>
        </w:rPr>
        <w:t>资助类</w:t>
      </w:r>
      <w:r>
        <w:rPr>
          <w:rFonts w:hint="eastAsia" w:ascii="仿宋_GB2312" w:hAnsi="仿宋_GB2312" w:eastAsia="仿宋_GB2312" w:cs="仿宋_GB2312"/>
          <w:color w:val="auto"/>
          <w:sz w:val="32"/>
          <w:szCs w:val="32"/>
          <w:highlight w:val="none"/>
        </w:rPr>
        <w:t>项目申请单位不受地方财力贡献限制。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eastAsia" w:ascii="仿宋_GB2312" w:hAnsi="仿宋_GB2312" w:eastAsia="仿宋_GB2312" w:cs="仿宋_GB2312"/>
          <w:color w:val="auto"/>
          <w:sz w:val="32"/>
          <w:szCs w:val="32"/>
          <w:highlight w:val="none"/>
        </w:rPr>
      </w:pPr>
      <w:r>
        <w:rPr>
          <w:rFonts w:hint="eastAsia" w:ascii="楷体_GB2312" w:hAnsi="Times New Roman" w:eastAsia="楷体_GB2312" w:cs="Times New Roman"/>
          <w:b/>
          <w:bCs/>
          <w:highlight w:val="none"/>
        </w:rPr>
        <w:t>第</w:t>
      </w:r>
      <w:r>
        <w:rPr>
          <w:rFonts w:hint="eastAsia" w:ascii="楷体_GB2312" w:hAnsi="Times New Roman" w:eastAsia="楷体_GB2312" w:cs="Times New Roman"/>
          <w:b/>
          <w:bCs/>
          <w:highlight w:val="none"/>
          <w:lang w:val="en-US" w:eastAsia="zh-CN"/>
        </w:rPr>
        <w:t>六</w:t>
      </w:r>
      <w:r>
        <w:rPr>
          <w:rFonts w:hint="eastAsia" w:ascii="楷体_GB2312" w:hAnsi="Times New Roman" w:eastAsia="楷体_GB2312" w:cs="Times New Roman"/>
          <w:b/>
          <w:bCs/>
          <w:highlight w:val="none"/>
        </w:rPr>
        <w:t xml:space="preserve">条 </w:t>
      </w:r>
      <w:r>
        <w:rPr>
          <w:rFonts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rPr>
        <w:t>政府投资的</w:t>
      </w:r>
      <w:r>
        <w:rPr>
          <w:rFonts w:hint="eastAsia" w:ascii="仿宋_GB2312" w:hAnsi="仿宋_GB2312" w:eastAsia="仿宋_GB2312" w:cs="仿宋_GB2312"/>
          <w:color w:val="auto"/>
          <w:sz w:val="32"/>
          <w:szCs w:val="32"/>
          <w:highlight w:val="none"/>
          <w:lang w:val="en-US" w:eastAsia="zh-CN"/>
        </w:rPr>
        <w:t>建设</w:t>
      </w:r>
      <w:r>
        <w:rPr>
          <w:rFonts w:hint="eastAsia" w:ascii="仿宋_GB2312" w:hAnsi="仿宋_GB2312" w:eastAsia="仿宋_GB2312" w:cs="仿宋_GB2312"/>
          <w:color w:val="auto"/>
          <w:sz w:val="32"/>
          <w:szCs w:val="32"/>
          <w:highlight w:val="none"/>
        </w:rPr>
        <w:t>工程项目</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其建设单位</w:t>
      </w:r>
      <w:r>
        <w:rPr>
          <w:rFonts w:hint="eastAsia" w:ascii="仿宋_GB2312" w:hAnsi="仿宋_GB2312" w:eastAsia="仿宋_GB2312" w:cs="仿宋_GB2312"/>
          <w:color w:val="auto"/>
          <w:sz w:val="32"/>
          <w:szCs w:val="32"/>
          <w:highlight w:val="none"/>
        </w:rPr>
        <w:t>不</w:t>
      </w:r>
      <w:r>
        <w:rPr>
          <w:rFonts w:hint="eastAsia" w:ascii="仿宋_GB2312" w:hAnsi="仿宋_GB2312" w:eastAsia="仿宋_GB2312" w:cs="仿宋_GB2312"/>
          <w:color w:val="auto"/>
          <w:sz w:val="32"/>
          <w:szCs w:val="32"/>
          <w:highlight w:val="none"/>
          <w:lang w:val="en-US" w:eastAsia="zh-CN"/>
        </w:rPr>
        <w:t>享受本</w:t>
      </w:r>
      <w:r>
        <w:rPr>
          <w:rFonts w:hint="eastAsia" w:ascii="仿宋_GB2312" w:hAnsi="仿宋_GB2312" w:eastAsia="仿宋_GB2312" w:cs="仿宋_GB2312"/>
          <w:color w:val="auto"/>
          <w:sz w:val="32"/>
          <w:szCs w:val="32"/>
          <w:highlight w:val="none"/>
        </w:rPr>
        <w:t>措施</w:t>
      </w:r>
      <w:r>
        <w:rPr>
          <w:rFonts w:hint="eastAsia" w:ascii="仿宋_GB2312" w:hAnsi="仿宋_GB2312" w:eastAsia="仿宋_GB2312" w:cs="仿宋_GB2312"/>
          <w:color w:val="auto"/>
          <w:sz w:val="32"/>
          <w:szCs w:val="32"/>
          <w:highlight w:val="none"/>
          <w:lang w:val="en-US" w:eastAsia="zh-CN"/>
        </w:rPr>
        <w:t>资助</w:t>
      </w:r>
      <w:r>
        <w:rPr>
          <w:rFonts w:hint="eastAsia" w:ascii="仿宋_GB2312" w:hAnsi="仿宋_GB2312" w:eastAsia="仿宋_GB2312" w:cs="仿宋_GB2312"/>
          <w:color w:val="auto"/>
          <w:sz w:val="32"/>
          <w:szCs w:val="32"/>
          <w:highlight w:val="none"/>
        </w:rPr>
        <w:t>。</w:t>
      </w:r>
    </w:p>
    <w:p>
      <w:pPr>
        <w:keepNext w:val="0"/>
        <w:keepLines w:val="0"/>
        <w:pageBreakBefore w:val="0"/>
        <w:widowControl w:val="0"/>
        <w:wordWrap/>
        <w:topLinePunct w:val="0"/>
        <w:bidi w:val="0"/>
        <w:spacing w:beforeAutospacing="0" w:afterAutospacing="0" w:line="560" w:lineRule="exact"/>
        <w:ind w:left="0" w:leftChars="0" w:firstLine="643" w:firstLineChars="200"/>
        <w:jc w:val="both"/>
        <w:rPr>
          <w:rFonts w:hint="eastAsia" w:ascii="仿宋_GB2312" w:hAnsi="仿宋_GB2312" w:eastAsia="仿宋_GB2312" w:cs="仿宋_GB2312"/>
          <w:color w:val="auto"/>
          <w:sz w:val="32"/>
          <w:szCs w:val="32"/>
          <w:highlight w:val="none"/>
          <w:lang w:eastAsia="zh-CN"/>
        </w:rPr>
      </w:pPr>
      <w:r>
        <w:rPr>
          <w:rFonts w:hint="eastAsia" w:ascii="楷体_GB2312" w:hAnsi="Times New Roman" w:eastAsia="楷体_GB2312" w:cs="Times New Roman"/>
          <w:b/>
          <w:bCs/>
          <w:highlight w:val="none"/>
        </w:rPr>
        <w:t>第</w:t>
      </w:r>
      <w:r>
        <w:rPr>
          <w:rFonts w:hint="eastAsia" w:ascii="楷体_GB2312" w:hAnsi="Times New Roman" w:eastAsia="楷体_GB2312" w:cs="Times New Roman"/>
          <w:b/>
          <w:bCs/>
          <w:highlight w:val="none"/>
          <w:lang w:val="en-US" w:eastAsia="zh-CN"/>
        </w:rPr>
        <w:t>七</w:t>
      </w:r>
      <w:r>
        <w:rPr>
          <w:rFonts w:hint="eastAsia" w:ascii="楷体_GB2312" w:hAnsi="Times New Roman" w:eastAsia="楷体_GB2312" w:cs="Times New Roman"/>
          <w:b/>
          <w:bCs/>
          <w:highlight w:val="none"/>
        </w:rPr>
        <w:t xml:space="preserve">条 </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符合资助条件的企业及项目应在获得相关奖项、证书和满足申报条件两年内申报</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wordWrap/>
        <w:topLinePunct w:val="0"/>
        <w:bidi w:val="0"/>
        <w:spacing w:beforeAutospacing="0" w:afterAutospacing="0" w:line="560" w:lineRule="exact"/>
        <w:ind w:left="0" w:leftChars="0" w:firstLine="643" w:firstLineChars="200"/>
        <w:jc w:val="both"/>
        <w:rPr>
          <w:rFonts w:ascii="仿宋_GB2312" w:hAnsi="仿宋_GB2312" w:eastAsia="仿宋_GB2312" w:cs="仿宋_GB2312"/>
          <w:color w:val="auto"/>
          <w:sz w:val="32"/>
          <w:szCs w:val="32"/>
          <w:highlight w:val="none"/>
        </w:rPr>
      </w:pPr>
      <w:r>
        <w:rPr>
          <w:rFonts w:hint="eastAsia" w:ascii="楷体_GB2312" w:hAnsi="Times New Roman" w:eastAsia="楷体_GB2312" w:cs="Times New Roman"/>
          <w:b/>
          <w:bCs/>
          <w:highlight w:val="none"/>
        </w:rPr>
        <w:t>第</w:t>
      </w:r>
      <w:r>
        <w:rPr>
          <w:rFonts w:hint="eastAsia" w:ascii="楷体_GB2312" w:hAnsi="Times New Roman" w:eastAsia="楷体_GB2312" w:cs="Times New Roman"/>
          <w:b/>
          <w:bCs/>
          <w:highlight w:val="none"/>
          <w:lang w:val="en-US" w:eastAsia="zh-CN"/>
        </w:rPr>
        <w:t>八</w:t>
      </w:r>
      <w:r>
        <w:rPr>
          <w:rFonts w:hint="eastAsia" w:ascii="楷体_GB2312" w:hAnsi="Times New Roman" w:eastAsia="楷体_GB2312" w:cs="Times New Roman"/>
          <w:b/>
          <w:bCs/>
          <w:highlight w:val="none"/>
        </w:rPr>
        <w:t>条</w:t>
      </w:r>
      <w:r>
        <w:rPr>
          <w:rFonts w:hint="eastAsia" w:ascii="仿宋_GB2312" w:hAnsi="仿宋_GB2312" w:eastAsia="仿宋_GB2312" w:cs="仿宋_GB2312"/>
          <w:color w:val="auto"/>
          <w:sz w:val="32"/>
          <w:szCs w:val="32"/>
          <w:highlight w:val="none"/>
        </w:rPr>
        <w:t xml:space="preserve"> </w:t>
      </w:r>
      <w:r>
        <w:rPr>
          <w:rFonts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rPr>
        <w:t>除优质建筑业企业、</w:t>
      </w:r>
      <w:r>
        <w:rPr>
          <w:rFonts w:hint="eastAsia" w:ascii="仿宋_GB2312" w:hAnsi="仿宋_GB2312" w:eastAsia="仿宋_GB2312" w:cs="仿宋_GB2312"/>
          <w:color w:val="auto"/>
          <w:sz w:val="32"/>
          <w:szCs w:val="32"/>
          <w:highlight w:val="none"/>
          <w:lang w:val="en-US" w:eastAsia="zh-CN"/>
        </w:rPr>
        <w:t>创新发展工程建设企业</w:t>
      </w:r>
      <w:r>
        <w:rPr>
          <w:rFonts w:hint="eastAsia" w:ascii="仿宋_GB2312" w:hAnsi="仿宋_GB2312" w:eastAsia="仿宋_GB2312" w:cs="仿宋_GB2312"/>
          <w:color w:val="auto"/>
          <w:sz w:val="32"/>
          <w:szCs w:val="32"/>
          <w:highlight w:val="none"/>
        </w:rPr>
        <w:t>和突出业绩建筑业企业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不含产值业绩突出项目</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须满足在南山辖区内注册要求外，其余项目不受此条件限制。已享受</w:t>
      </w:r>
      <w:r>
        <w:rPr>
          <w:rFonts w:hint="eastAsia" w:ascii="仿宋_GB2312" w:hAnsi="仿宋_GB2312" w:eastAsia="仿宋_GB2312" w:cs="仿宋_GB2312"/>
          <w:color w:val="auto"/>
          <w:sz w:val="32"/>
          <w:szCs w:val="32"/>
          <w:highlight w:val="none"/>
          <w:lang w:val="en-US" w:eastAsia="zh-CN"/>
        </w:rPr>
        <w:t>本</w:t>
      </w:r>
      <w:r>
        <w:rPr>
          <w:rFonts w:hint="eastAsia" w:ascii="仿宋_GB2312" w:hAnsi="仿宋_GB2312" w:eastAsia="仿宋_GB2312" w:cs="仿宋_GB2312"/>
          <w:color w:val="auto"/>
          <w:sz w:val="32"/>
          <w:szCs w:val="32"/>
          <w:highlight w:val="none"/>
        </w:rPr>
        <w:t>措施资助的</w:t>
      </w:r>
      <w:r>
        <w:rPr>
          <w:rFonts w:hint="eastAsia" w:ascii="仿宋_GB2312" w:hAnsi="仿宋_GB2312" w:eastAsia="仿宋_GB2312" w:cs="仿宋_GB2312"/>
          <w:color w:val="auto"/>
          <w:sz w:val="32"/>
          <w:szCs w:val="32"/>
          <w:highlight w:val="none"/>
          <w:lang w:val="en-US" w:eastAsia="zh-CN"/>
        </w:rPr>
        <w:t>企业</w:t>
      </w:r>
      <w:r>
        <w:rPr>
          <w:rFonts w:hint="eastAsia" w:ascii="仿宋_GB2312" w:hAnsi="仿宋_GB2312" w:eastAsia="仿宋_GB2312" w:cs="仿宋_GB2312"/>
          <w:color w:val="auto"/>
          <w:sz w:val="32"/>
          <w:szCs w:val="32"/>
          <w:highlight w:val="none"/>
        </w:rPr>
        <w:t>应积极配合</w:t>
      </w:r>
      <w:r>
        <w:rPr>
          <w:rFonts w:hint="eastAsia" w:ascii="仿宋_GB2312" w:hAnsi="仿宋_GB2312" w:eastAsia="仿宋_GB2312" w:cs="仿宋_GB2312"/>
          <w:color w:val="auto"/>
          <w:sz w:val="32"/>
          <w:szCs w:val="32"/>
          <w:highlight w:val="none"/>
          <w:lang w:val="en-US" w:eastAsia="zh-CN"/>
        </w:rPr>
        <w:t>行业主管部门</w:t>
      </w:r>
      <w:r>
        <w:rPr>
          <w:rFonts w:hint="eastAsia" w:ascii="仿宋_GB2312" w:hAnsi="仿宋_GB2312" w:eastAsia="仿宋_GB2312" w:cs="仿宋_GB2312"/>
          <w:color w:val="auto"/>
          <w:sz w:val="32"/>
          <w:szCs w:val="32"/>
          <w:highlight w:val="none"/>
        </w:rPr>
        <w:t>相关工作。</w:t>
      </w:r>
    </w:p>
    <w:p>
      <w:pPr>
        <w:keepNext w:val="0"/>
        <w:keepLines w:val="0"/>
        <w:pageBreakBefore w:val="0"/>
        <w:widowControl w:val="0"/>
        <w:wordWrap/>
        <w:topLinePunct w:val="0"/>
        <w:bidi w:val="0"/>
        <w:spacing w:beforeAutospacing="0" w:afterAutospacing="0" w:line="560" w:lineRule="exact"/>
        <w:ind w:left="0" w:leftChars="0" w:firstLine="643" w:firstLineChars="200"/>
        <w:jc w:val="both"/>
        <w:rPr>
          <w:rFonts w:hint="eastAsia" w:ascii="仿宋_GB2312" w:hAnsi="仿宋_GB2312" w:eastAsia="仿宋_GB2312" w:cs="仿宋_GB2312"/>
          <w:color w:val="auto"/>
          <w:sz w:val="32"/>
          <w:szCs w:val="32"/>
          <w:highlight w:val="none"/>
        </w:rPr>
      </w:pPr>
      <w:r>
        <w:rPr>
          <w:rFonts w:hint="eastAsia" w:ascii="楷体_GB2312" w:hAnsi="Times New Roman" w:eastAsia="楷体_GB2312" w:cs="Times New Roman"/>
          <w:b/>
          <w:bCs/>
          <w:highlight w:val="none"/>
        </w:rPr>
        <w:t>第</w:t>
      </w:r>
      <w:r>
        <w:rPr>
          <w:rFonts w:hint="eastAsia" w:ascii="楷体_GB2312" w:hAnsi="Times New Roman" w:eastAsia="楷体_GB2312" w:cs="Times New Roman"/>
          <w:b/>
          <w:bCs/>
          <w:highlight w:val="none"/>
          <w:lang w:val="en-US" w:eastAsia="zh-CN"/>
        </w:rPr>
        <w:t>九</w:t>
      </w:r>
      <w:r>
        <w:rPr>
          <w:rFonts w:hint="eastAsia" w:ascii="楷体_GB2312" w:hAnsi="Times New Roman" w:eastAsia="楷体_GB2312" w:cs="Times New Roman"/>
          <w:b/>
          <w:bCs/>
          <w:highlight w:val="none"/>
        </w:rPr>
        <w:t>条</w:t>
      </w:r>
      <w:r>
        <w:rPr>
          <w:rFonts w:hint="eastAsia" w:ascii="仿宋_GB2312" w:hAnsi="仿宋_GB2312" w:eastAsia="仿宋_GB2312" w:cs="仿宋_GB2312"/>
          <w:b/>
          <w:bCs/>
          <w:color w:val="auto"/>
          <w:sz w:val="32"/>
          <w:szCs w:val="32"/>
          <w:highlight w:val="none"/>
        </w:rPr>
        <w:t xml:space="preserve"> </w:t>
      </w:r>
      <w:r>
        <w:rPr>
          <w:rFonts w:ascii="仿宋_GB2312" w:hAnsi="仿宋_GB2312" w:eastAsia="仿宋_GB2312" w:cs="仿宋_GB2312"/>
          <w:b/>
          <w:bCs/>
          <w:color w:val="auto"/>
          <w:sz w:val="32"/>
          <w:szCs w:val="32"/>
          <w:highlight w:val="none"/>
        </w:rPr>
        <w:t xml:space="preserve"> </w:t>
      </w:r>
      <w:r>
        <w:rPr>
          <w:rFonts w:hint="eastAsia" w:ascii="仿宋_GB2312" w:hAnsi="仿宋_GB2312" w:eastAsia="仿宋_GB2312" w:cs="仿宋_GB2312"/>
          <w:b w:val="0"/>
          <w:bCs w:val="0"/>
          <w:color w:val="auto"/>
          <w:sz w:val="32"/>
          <w:szCs w:val="32"/>
          <w:highlight w:val="none"/>
          <w:lang w:eastAsia="zh-CN"/>
        </w:rPr>
        <w:t>本</w:t>
      </w:r>
      <w:r>
        <w:rPr>
          <w:rFonts w:hint="eastAsia" w:ascii="仿宋_GB2312" w:hAnsi="仿宋_GB2312" w:eastAsia="仿宋_GB2312" w:cs="仿宋_GB2312"/>
          <w:color w:val="auto"/>
          <w:kern w:val="0"/>
          <w:sz w:val="32"/>
          <w:szCs w:val="32"/>
          <w:highlight w:val="none"/>
        </w:rPr>
        <w:t>措施</w:t>
      </w:r>
      <w:r>
        <w:rPr>
          <w:rFonts w:hint="eastAsia" w:ascii="仿宋_GB2312" w:hAnsi="仿宋_GB2312" w:eastAsia="仿宋_GB2312" w:cs="仿宋_GB2312"/>
          <w:color w:val="auto"/>
          <w:sz w:val="32"/>
          <w:szCs w:val="32"/>
          <w:highlight w:val="none"/>
        </w:rPr>
        <w:t>的预算资金支付完毕后当年度内不再开通受理通道，同批次通过审查的项目超过年度预算时，可</w:t>
      </w:r>
      <w:r>
        <w:rPr>
          <w:rFonts w:hint="eastAsia" w:ascii="仿宋_GB2312" w:hAnsi="仿宋_GB2312" w:eastAsia="仿宋_GB2312" w:cs="仿宋_GB2312"/>
          <w:color w:val="auto"/>
          <w:sz w:val="32"/>
          <w:szCs w:val="32"/>
          <w:highlight w:val="none"/>
          <w:lang w:val="en-US" w:eastAsia="zh-CN"/>
        </w:rPr>
        <w:t>视当年的财力情况</w:t>
      </w:r>
      <w:r>
        <w:rPr>
          <w:rFonts w:hint="eastAsia" w:ascii="仿宋_GB2312" w:hAnsi="仿宋_GB2312" w:eastAsia="仿宋_GB2312" w:cs="仿宋_GB2312"/>
          <w:color w:val="auto"/>
          <w:sz w:val="32"/>
          <w:szCs w:val="32"/>
          <w:highlight w:val="none"/>
        </w:rPr>
        <w:t>按比例予以资助。</w:t>
      </w:r>
    </w:p>
    <w:p>
      <w:pPr>
        <w:keepNext w:val="0"/>
        <w:keepLines w:val="0"/>
        <w:pageBreakBefore w:val="0"/>
        <w:widowControl w:val="0"/>
        <w:wordWrap/>
        <w:topLinePunct w:val="0"/>
        <w:bidi w:val="0"/>
        <w:spacing w:beforeAutospacing="0" w:afterAutospacing="0" w:line="560" w:lineRule="exact"/>
        <w:ind w:left="0" w:leftChars="0" w:firstLine="643" w:firstLineChars="200"/>
        <w:jc w:val="both"/>
        <w:rPr>
          <w:rFonts w:hint="eastAsia" w:ascii="仿宋_GB2312" w:hAnsi="仿宋_GB2312" w:eastAsia="仿宋_GB2312" w:cs="仿宋_GB2312"/>
          <w:color w:val="auto"/>
          <w:sz w:val="32"/>
          <w:szCs w:val="32"/>
          <w:highlight w:val="none"/>
        </w:rPr>
      </w:pPr>
      <w:r>
        <w:rPr>
          <w:rFonts w:hint="eastAsia" w:ascii="楷体_GB2312" w:hAnsi="Times New Roman" w:eastAsia="楷体_GB2312" w:cs="Times New Roman"/>
          <w:b/>
          <w:bCs/>
          <w:highlight w:val="none"/>
        </w:rPr>
        <w:t xml:space="preserve">第十条 </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kern w:val="0"/>
          <w:sz w:val="32"/>
          <w:szCs w:val="32"/>
          <w:highlight w:val="none"/>
          <w:lang w:val="en-US" w:eastAsia="zh-CN"/>
        </w:rPr>
        <w:t>本</w:t>
      </w:r>
      <w:r>
        <w:rPr>
          <w:rFonts w:hint="eastAsia" w:ascii="仿宋_GB2312" w:hAnsi="仿宋_GB2312" w:eastAsia="仿宋_GB2312" w:cs="仿宋_GB2312"/>
          <w:color w:val="auto"/>
          <w:kern w:val="0"/>
          <w:sz w:val="32"/>
          <w:szCs w:val="32"/>
          <w:highlight w:val="none"/>
        </w:rPr>
        <w:t>措施</w:t>
      </w:r>
      <w:r>
        <w:rPr>
          <w:rFonts w:hint="eastAsia" w:ascii="仿宋_GB2312" w:hAnsi="仿宋_GB2312" w:eastAsia="仿宋_GB2312" w:cs="仿宋_GB2312"/>
          <w:color w:val="auto"/>
          <w:sz w:val="32"/>
          <w:szCs w:val="32"/>
          <w:highlight w:val="none"/>
        </w:rPr>
        <w:t>自发布之日起施行，有效期三年。</w:t>
      </w:r>
    </w:p>
    <w:p>
      <w:pPr>
        <w:keepNext w:val="0"/>
        <w:keepLines w:val="0"/>
        <w:pageBreakBefore w:val="0"/>
        <w:widowControl w:val="0"/>
        <w:wordWrap/>
        <w:topLinePunct w:val="0"/>
        <w:bidi w:val="0"/>
        <w:spacing w:beforeAutospacing="0" w:afterAutospacing="0" w:line="560" w:lineRule="exact"/>
        <w:ind w:left="0" w:leftChars="0" w:firstLine="643" w:firstLineChars="200"/>
        <w:jc w:val="both"/>
        <w:rPr>
          <w:rFonts w:hint="eastAsia" w:ascii="仿宋_GB2312" w:hAnsi="仿宋_GB2312" w:eastAsia="仿宋_GB2312" w:cs="仿宋_GB2312"/>
          <w:color w:val="auto"/>
          <w:sz w:val="32"/>
          <w:szCs w:val="32"/>
          <w:highlight w:val="none"/>
        </w:rPr>
      </w:pPr>
      <w:r>
        <w:rPr>
          <w:rFonts w:hint="eastAsia" w:ascii="楷体_GB2312" w:hAnsi="Times New Roman" w:eastAsia="楷体_GB2312" w:cs="Times New Roman"/>
          <w:b/>
          <w:bCs/>
          <w:highlight w:val="none"/>
        </w:rPr>
        <w:t>第十</w:t>
      </w:r>
      <w:r>
        <w:rPr>
          <w:rFonts w:hint="eastAsia" w:ascii="楷体_GB2312" w:hAnsi="Times New Roman" w:eastAsia="楷体_GB2312" w:cs="Times New Roman"/>
          <w:b/>
          <w:bCs/>
          <w:highlight w:val="none"/>
          <w:lang w:val="en-US" w:eastAsia="zh-CN"/>
        </w:rPr>
        <w:t>一</w:t>
      </w:r>
      <w:r>
        <w:rPr>
          <w:rFonts w:hint="eastAsia" w:ascii="楷体_GB2312" w:hAnsi="Times New Roman" w:eastAsia="楷体_GB2312" w:cs="Times New Roman"/>
          <w:b/>
          <w:bCs/>
          <w:highlight w:val="none"/>
        </w:rPr>
        <w:t xml:space="preserve">条 </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kern w:val="0"/>
          <w:sz w:val="32"/>
          <w:szCs w:val="32"/>
          <w:highlight w:val="none"/>
          <w:lang w:val="en-US" w:eastAsia="zh-CN"/>
        </w:rPr>
        <w:t>本</w:t>
      </w:r>
      <w:r>
        <w:rPr>
          <w:rFonts w:hint="eastAsia" w:ascii="仿宋_GB2312" w:hAnsi="仿宋_GB2312" w:eastAsia="仿宋_GB2312" w:cs="仿宋_GB2312"/>
          <w:color w:val="auto"/>
          <w:kern w:val="0"/>
          <w:sz w:val="32"/>
          <w:szCs w:val="32"/>
          <w:highlight w:val="none"/>
        </w:rPr>
        <w:t>措施</w:t>
      </w:r>
      <w:r>
        <w:rPr>
          <w:rFonts w:hint="eastAsia" w:ascii="仿宋_GB2312" w:hAnsi="仿宋_GB2312" w:eastAsia="仿宋_GB2312" w:cs="仿宋_GB2312"/>
          <w:color w:val="auto"/>
          <w:sz w:val="32"/>
          <w:szCs w:val="32"/>
          <w:highlight w:val="none"/>
        </w:rPr>
        <w:t>由区住</w:t>
      </w:r>
      <w:r>
        <w:rPr>
          <w:rFonts w:hint="eastAsia" w:ascii="仿宋_GB2312" w:hAnsi="仿宋_GB2312" w:eastAsia="仿宋_GB2312" w:cs="仿宋_GB2312"/>
          <w:color w:val="auto"/>
          <w:sz w:val="32"/>
          <w:szCs w:val="32"/>
          <w:highlight w:val="none"/>
          <w:lang w:eastAsia="zh-CN"/>
        </w:rPr>
        <w:t>房</w:t>
      </w:r>
      <w:r>
        <w:rPr>
          <w:rFonts w:hint="eastAsia" w:ascii="仿宋_GB2312" w:hAnsi="仿宋_GB2312" w:eastAsia="仿宋_GB2312" w:cs="仿宋_GB2312"/>
          <w:color w:val="auto"/>
          <w:sz w:val="32"/>
          <w:szCs w:val="32"/>
          <w:highlight w:val="none"/>
        </w:rPr>
        <w:t>建</w:t>
      </w:r>
      <w:r>
        <w:rPr>
          <w:rFonts w:hint="eastAsia" w:ascii="仿宋_GB2312" w:hAnsi="仿宋_GB2312" w:eastAsia="仿宋_GB2312" w:cs="仿宋_GB2312"/>
          <w:color w:val="auto"/>
          <w:sz w:val="32"/>
          <w:szCs w:val="32"/>
          <w:highlight w:val="none"/>
          <w:lang w:eastAsia="zh-CN"/>
        </w:rPr>
        <w:t>设</w:t>
      </w:r>
      <w:r>
        <w:rPr>
          <w:rFonts w:hint="eastAsia" w:ascii="仿宋_GB2312" w:hAnsi="仿宋_GB2312" w:eastAsia="仿宋_GB2312" w:cs="仿宋_GB2312"/>
          <w:color w:val="auto"/>
          <w:sz w:val="32"/>
          <w:szCs w:val="32"/>
          <w:highlight w:val="none"/>
        </w:rPr>
        <w:t>局负责解释，制定与</w:t>
      </w:r>
      <w:r>
        <w:rPr>
          <w:rFonts w:hint="eastAsia" w:ascii="仿宋_GB2312" w:hAnsi="仿宋_GB2312" w:eastAsia="仿宋_GB2312" w:cs="仿宋_GB2312"/>
          <w:color w:val="auto"/>
          <w:kern w:val="0"/>
          <w:sz w:val="32"/>
          <w:szCs w:val="32"/>
          <w:highlight w:val="none"/>
          <w:lang w:val="en-US" w:eastAsia="zh-CN"/>
        </w:rPr>
        <w:t>本</w:t>
      </w:r>
      <w:r>
        <w:rPr>
          <w:rFonts w:hint="eastAsia" w:ascii="仿宋_GB2312" w:hAnsi="仿宋_GB2312" w:eastAsia="仿宋_GB2312" w:cs="仿宋_GB2312"/>
          <w:color w:val="auto"/>
          <w:kern w:val="0"/>
          <w:sz w:val="32"/>
          <w:szCs w:val="32"/>
          <w:highlight w:val="none"/>
        </w:rPr>
        <w:t>措施</w:t>
      </w:r>
      <w:r>
        <w:rPr>
          <w:rFonts w:hint="eastAsia" w:ascii="仿宋_GB2312" w:hAnsi="仿宋_GB2312" w:eastAsia="仿宋_GB2312" w:cs="仿宋_GB2312"/>
          <w:color w:val="auto"/>
          <w:sz w:val="32"/>
          <w:szCs w:val="32"/>
          <w:highlight w:val="none"/>
        </w:rPr>
        <w:t>相关的操作规程。</w:t>
      </w:r>
    </w:p>
    <w:p>
      <w:pPr>
        <w:pStyle w:val="6"/>
        <w:keepNext w:val="0"/>
        <w:keepLines w:val="0"/>
        <w:pageBreakBefore w:val="0"/>
        <w:widowControl w:val="0"/>
        <w:wordWrap/>
        <w:topLinePunct w:val="0"/>
        <w:bidi w:val="0"/>
        <w:spacing w:beforeAutospacing="0" w:afterAutospacing="0" w:line="560" w:lineRule="exact"/>
        <w:ind w:left="0" w:leftChars="0"/>
        <w:rPr>
          <w:rFonts w:hint="eastAsia" w:ascii="仿宋_GB2312" w:hAnsi="仿宋_GB2312" w:eastAsia="仿宋_GB2312" w:cs="仿宋_GB2312"/>
          <w:color w:val="auto"/>
          <w:sz w:val="32"/>
          <w:szCs w:val="32"/>
          <w:highlight w:val="none"/>
        </w:rPr>
      </w:pPr>
    </w:p>
    <w:p>
      <w:pPr>
        <w:pStyle w:val="6"/>
        <w:keepNext w:val="0"/>
        <w:keepLines w:val="0"/>
        <w:pageBreakBefore w:val="0"/>
        <w:widowControl w:val="0"/>
        <w:wordWrap/>
        <w:topLinePunct w:val="0"/>
        <w:bidi w:val="0"/>
        <w:spacing w:beforeAutospacing="0" w:afterAutospacing="0" w:line="560" w:lineRule="exact"/>
        <w:ind w:left="0" w:leftChars="0"/>
        <w:rPr>
          <w:rFonts w:hint="eastAsia" w:ascii="仿宋_GB2312" w:hAnsi="仿宋_GB2312" w:eastAsia="仿宋_GB2312" w:cs="仿宋_GB2312"/>
          <w:color w:val="auto"/>
          <w:sz w:val="32"/>
          <w:szCs w:val="32"/>
          <w:highlight w:val="none"/>
        </w:rPr>
      </w:pPr>
    </w:p>
    <w:p>
      <w:pPr>
        <w:pStyle w:val="6"/>
        <w:keepNext w:val="0"/>
        <w:keepLines w:val="0"/>
        <w:pageBreakBefore w:val="0"/>
        <w:widowControl w:val="0"/>
        <w:wordWrap/>
        <w:topLinePunct w:val="0"/>
        <w:bidi w:val="0"/>
        <w:spacing w:beforeAutospacing="0" w:afterAutospacing="0" w:line="560" w:lineRule="exact"/>
        <w:ind w:left="0" w:leftChars="0"/>
        <w:rPr>
          <w:rFonts w:hint="eastAsia" w:ascii="仿宋_GB2312" w:hAnsi="仿宋_GB2312" w:eastAsia="仿宋_GB2312" w:cs="仿宋_GB2312"/>
          <w:color w:val="auto"/>
          <w:sz w:val="32"/>
          <w:szCs w:val="32"/>
          <w:highlight w:val="none"/>
        </w:rPr>
      </w:pPr>
    </w:p>
    <w:p>
      <w:pPr>
        <w:pStyle w:val="6"/>
        <w:keepNext w:val="0"/>
        <w:keepLines w:val="0"/>
        <w:pageBreakBefore w:val="0"/>
        <w:widowControl w:val="0"/>
        <w:wordWrap/>
        <w:topLinePunct w:val="0"/>
        <w:bidi w:val="0"/>
        <w:spacing w:beforeAutospacing="0" w:afterAutospacing="0" w:line="560" w:lineRule="exact"/>
        <w:ind w:left="0" w:leftChars="0"/>
        <w:rPr>
          <w:rFonts w:hint="eastAsia" w:ascii="仿宋_GB2312" w:hAnsi="仿宋_GB2312" w:eastAsia="仿宋_GB2312" w:cs="仿宋_GB2312"/>
          <w:color w:val="auto"/>
          <w:sz w:val="32"/>
          <w:szCs w:val="32"/>
          <w:highlight w:val="none"/>
        </w:rPr>
      </w:pPr>
    </w:p>
    <w:p>
      <w:pPr>
        <w:pStyle w:val="6"/>
        <w:keepNext w:val="0"/>
        <w:keepLines w:val="0"/>
        <w:pageBreakBefore w:val="0"/>
        <w:widowControl w:val="0"/>
        <w:wordWrap/>
        <w:topLinePunct w:val="0"/>
        <w:bidi w:val="0"/>
        <w:spacing w:beforeAutospacing="0" w:afterAutospacing="0" w:line="560" w:lineRule="exact"/>
        <w:ind w:left="0" w:leftChars="0"/>
        <w:rPr>
          <w:rFonts w:hint="eastAsia" w:ascii="仿宋_GB2312" w:hAnsi="仿宋_GB2312" w:eastAsia="仿宋_GB2312" w:cs="仿宋_GB2312"/>
          <w:color w:val="auto"/>
          <w:sz w:val="32"/>
          <w:szCs w:val="32"/>
          <w:highlight w:val="none"/>
        </w:rPr>
      </w:pPr>
    </w:p>
    <w:p>
      <w:pPr>
        <w:pStyle w:val="6"/>
        <w:keepNext w:val="0"/>
        <w:keepLines w:val="0"/>
        <w:pageBreakBefore w:val="0"/>
        <w:widowControl w:val="0"/>
        <w:wordWrap/>
        <w:topLinePunct w:val="0"/>
        <w:bidi w:val="0"/>
        <w:spacing w:beforeAutospacing="0" w:afterAutospacing="0" w:line="560" w:lineRule="exact"/>
        <w:ind w:left="0" w:leftChars="0"/>
        <w:rPr>
          <w:rFonts w:hint="eastAsia" w:ascii="仿宋_GB2312" w:hAnsi="仿宋_GB2312" w:eastAsia="仿宋_GB2312" w:cs="仿宋_GB2312"/>
          <w:color w:val="auto"/>
          <w:sz w:val="32"/>
          <w:szCs w:val="32"/>
          <w:highlight w:val="none"/>
        </w:rPr>
      </w:pPr>
    </w:p>
    <w:p>
      <w:pPr>
        <w:pStyle w:val="6"/>
        <w:keepNext w:val="0"/>
        <w:keepLines w:val="0"/>
        <w:pageBreakBefore w:val="0"/>
        <w:widowControl w:val="0"/>
        <w:wordWrap/>
        <w:topLinePunct w:val="0"/>
        <w:bidi w:val="0"/>
        <w:spacing w:beforeAutospacing="0" w:afterAutospacing="0" w:line="560" w:lineRule="exact"/>
        <w:ind w:left="0" w:leftChars="0"/>
        <w:rPr>
          <w:rFonts w:hint="eastAsia" w:ascii="仿宋_GB2312" w:hAnsi="仿宋_GB2312" w:eastAsia="仿宋_GB2312" w:cs="仿宋_GB2312"/>
          <w:color w:val="auto"/>
          <w:sz w:val="32"/>
          <w:szCs w:val="32"/>
          <w:highlight w:val="none"/>
        </w:rPr>
      </w:pPr>
    </w:p>
    <w:p>
      <w:pPr>
        <w:pStyle w:val="6"/>
        <w:keepNext w:val="0"/>
        <w:keepLines w:val="0"/>
        <w:pageBreakBefore w:val="0"/>
        <w:widowControl w:val="0"/>
        <w:wordWrap/>
        <w:topLinePunct w:val="0"/>
        <w:bidi w:val="0"/>
        <w:spacing w:beforeAutospacing="0" w:afterAutospacing="0" w:line="560" w:lineRule="exact"/>
        <w:ind w:left="0" w:leftChars="0"/>
        <w:rPr>
          <w:rFonts w:hint="eastAsia" w:ascii="仿宋_GB2312" w:hAnsi="仿宋_GB2312" w:eastAsia="仿宋_GB2312" w:cs="仿宋_GB2312"/>
          <w:color w:val="auto"/>
          <w:sz w:val="32"/>
          <w:szCs w:val="32"/>
          <w:highlight w:val="none"/>
        </w:rPr>
      </w:pPr>
    </w:p>
    <w:p>
      <w:pPr>
        <w:pStyle w:val="6"/>
        <w:keepNext w:val="0"/>
        <w:keepLines w:val="0"/>
        <w:pageBreakBefore w:val="0"/>
        <w:widowControl w:val="0"/>
        <w:wordWrap/>
        <w:topLinePunct w:val="0"/>
        <w:bidi w:val="0"/>
        <w:spacing w:beforeAutospacing="0" w:afterAutospacing="0" w:line="560" w:lineRule="exact"/>
        <w:ind w:left="0" w:leftChars="0"/>
        <w:rPr>
          <w:rFonts w:hint="eastAsia" w:ascii="仿宋_GB2312" w:hAnsi="仿宋_GB2312" w:eastAsia="仿宋_GB2312" w:cs="仿宋_GB2312"/>
          <w:color w:val="auto"/>
          <w:sz w:val="32"/>
          <w:szCs w:val="32"/>
          <w:highlight w:val="none"/>
        </w:rPr>
      </w:pPr>
    </w:p>
    <w:p>
      <w:pPr>
        <w:pStyle w:val="6"/>
        <w:keepNext w:val="0"/>
        <w:keepLines w:val="0"/>
        <w:pageBreakBefore w:val="0"/>
        <w:widowControl w:val="0"/>
        <w:wordWrap/>
        <w:topLinePunct w:val="0"/>
        <w:bidi w:val="0"/>
        <w:spacing w:beforeAutospacing="0" w:afterAutospacing="0" w:line="560" w:lineRule="exact"/>
        <w:ind w:left="0" w:leftChars="0"/>
        <w:rPr>
          <w:rFonts w:hint="eastAsia" w:ascii="仿宋_GB2312" w:hAnsi="仿宋_GB2312" w:eastAsia="仿宋_GB2312" w:cs="仿宋_GB2312"/>
          <w:color w:val="auto"/>
          <w:sz w:val="32"/>
          <w:szCs w:val="32"/>
          <w:highlight w:val="none"/>
        </w:rPr>
      </w:pPr>
    </w:p>
    <w:p>
      <w:pPr>
        <w:pStyle w:val="6"/>
        <w:keepNext w:val="0"/>
        <w:keepLines w:val="0"/>
        <w:pageBreakBefore w:val="0"/>
        <w:widowControl w:val="0"/>
        <w:wordWrap/>
        <w:topLinePunct w:val="0"/>
        <w:bidi w:val="0"/>
        <w:spacing w:beforeAutospacing="0" w:afterAutospacing="0" w:line="560" w:lineRule="exact"/>
        <w:ind w:left="0" w:leftChars="0"/>
        <w:rPr>
          <w:rFonts w:hint="eastAsia" w:ascii="仿宋_GB2312" w:hAnsi="仿宋_GB2312" w:eastAsia="仿宋_GB2312" w:cs="仿宋_GB2312"/>
          <w:color w:val="auto"/>
          <w:sz w:val="32"/>
          <w:szCs w:val="32"/>
          <w:highlight w:val="none"/>
        </w:rPr>
      </w:pPr>
    </w:p>
    <w:p>
      <w:pPr>
        <w:pStyle w:val="6"/>
        <w:keepNext w:val="0"/>
        <w:keepLines w:val="0"/>
        <w:pageBreakBefore w:val="0"/>
        <w:widowControl w:val="0"/>
        <w:wordWrap/>
        <w:topLinePunct w:val="0"/>
        <w:bidi w:val="0"/>
        <w:spacing w:beforeAutospacing="0" w:afterAutospacing="0" w:line="560" w:lineRule="exact"/>
        <w:ind w:left="0" w:leftChars="0"/>
        <w:jc w:val="both"/>
        <w:rPr>
          <w:rFonts w:hint="eastAsia" w:ascii="仿宋_GB2312" w:hAnsi="仿宋_GB2312" w:eastAsia="仿宋_GB2312" w:cs="仿宋_GB2312"/>
          <w:color w:val="auto"/>
          <w:sz w:val="32"/>
          <w:szCs w:val="32"/>
          <w:highlight w:val="none"/>
        </w:rPr>
      </w:pPr>
    </w:p>
    <w:p>
      <w:pPr>
        <w:pStyle w:val="6"/>
        <w:keepNext w:val="0"/>
        <w:keepLines w:val="0"/>
        <w:pageBreakBefore w:val="0"/>
        <w:widowControl w:val="0"/>
        <w:wordWrap/>
        <w:topLinePunct w:val="0"/>
        <w:bidi w:val="0"/>
        <w:spacing w:beforeAutospacing="0" w:afterAutospacing="0" w:line="560" w:lineRule="exact"/>
        <w:ind w:left="0" w:leftChars="0"/>
        <w:rPr>
          <w:rFonts w:hint="eastAsia" w:ascii="仿宋_GB2312" w:hAnsi="仿宋_GB2312" w:eastAsia="仿宋_GB2312" w:cs="仿宋_GB2312"/>
          <w:color w:val="auto"/>
          <w:sz w:val="32"/>
          <w:szCs w:val="32"/>
          <w:highlight w:val="none"/>
        </w:rPr>
      </w:pPr>
    </w:p>
    <w:p>
      <w:pPr>
        <w:keepNext w:val="0"/>
        <w:keepLines w:val="0"/>
        <w:pageBreakBefore w:val="0"/>
        <w:widowControl w:val="0"/>
        <w:wordWrap/>
        <w:topLinePunct w:val="0"/>
        <w:bidi w:val="0"/>
        <w:spacing w:beforeAutospacing="0" w:afterAutospacing="0" w:line="560" w:lineRule="exact"/>
        <w:ind w:left="0" w:leftChars="0"/>
        <w:jc w:val="center"/>
        <w:rPr>
          <w:rFonts w:hint="eastAsia" w:ascii="方正小标宋_GBK" w:hAnsi="方正小标宋_GBK" w:eastAsia="方正小标宋_GBK" w:cs="方正小标宋_GBK"/>
          <w:color w:val="auto"/>
          <w:sz w:val="44"/>
          <w:szCs w:val="44"/>
          <w:u w:val="none"/>
        </w:rPr>
      </w:pPr>
      <w:bookmarkStart w:id="1589" w:name="_Toc9551"/>
      <w:bookmarkStart w:id="1590" w:name="_Toc5542"/>
      <w:bookmarkStart w:id="1591" w:name="_Toc12982"/>
      <w:bookmarkStart w:id="1592" w:name="_Toc27623"/>
      <w:bookmarkStart w:id="1593" w:name="_Toc10180"/>
      <w:bookmarkStart w:id="1594" w:name="_Toc69913755"/>
      <w:bookmarkStart w:id="1595" w:name="_Toc978"/>
      <w:bookmarkStart w:id="1596" w:name="_Toc30813"/>
      <w:bookmarkStart w:id="1597" w:name="_Toc10795"/>
      <w:bookmarkStart w:id="1598" w:name="_Toc27917"/>
      <w:bookmarkStart w:id="1599" w:name="_Toc69913861"/>
    </w:p>
    <w:p>
      <w:pPr>
        <w:rPr>
          <w:rFonts w:hint="eastAsia" w:ascii="方正小标宋_GBK" w:hAnsi="方正小标宋_GBK" w:eastAsia="方正小标宋_GBK" w:cs="方正小标宋_GBK"/>
          <w:color w:val="auto"/>
          <w:sz w:val="44"/>
          <w:szCs w:val="44"/>
          <w:u w:val="none"/>
        </w:rPr>
      </w:pPr>
      <w:r>
        <w:rPr>
          <w:rFonts w:hint="eastAsia" w:ascii="方正小标宋_GBK" w:hAnsi="方正小标宋_GBK" w:eastAsia="方正小标宋_GBK" w:cs="方正小标宋_GBK"/>
          <w:color w:val="auto"/>
          <w:sz w:val="44"/>
          <w:szCs w:val="44"/>
          <w:u w:val="none"/>
        </w:rPr>
        <w:br w:type="page"/>
      </w:r>
    </w:p>
    <w:p>
      <w:pPr>
        <w:keepNext w:val="0"/>
        <w:keepLines w:val="0"/>
        <w:pageBreakBefore w:val="0"/>
        <w:widowControl w:val="0"/>
        <w:wordWrap/>
        <w:topLinePunct w:val="0"/>
        <w:bidi w:val="0"/>
        <w:spacing w:beforeAutospacing="0" w:afterAutospacing="0" w:line="560" w:lineRule="exact"/>
        <w:ind w:left="0" w:leftChars="0"/>
        <w:jc w:val="center"/>
        <w:rPr>
          <w:rFonts w:hint="eastAsia" w:ascii="方正小标宋_GBK" w:hAnsi="方正小标宋_GBK" w:eastAsia="方正小标宋_GBK" w:cs="方正小标宋_GBK"/>
          <w:color w:val="auto"/>
          <w:sz w:val="44"/>
          <w:szCs w:val="44"/>
          <w:u w:val="none"/>
        </w:rPr>
      </w:pPr>
      <w:r>
        <w:rPr>
          <w:rFonts w:hint="eastAsia" w:ascii="方正小标宋_GBK" w:hAnsi="方正小标宋_GBK" w:eastAsia="方正小标宋_GBK" w:cs="方正小标宋_GBK"/>
          <w:color w:val="auto"/>
          <w:sz w:val="44"/>
          <w:szCs w:val="44"/>
          <w:u w:val="none"/>
        </w:rPr>
        <w:t>南山区</w:t>
      </w:r>
      <w:r>
        <w:rPr>
          <w:rFonts w:hint="eastAsia" w:ascii="方正小标宋_GBK" w:hAnsi="方正小标宋_GBK" w:eastAsia="方正小标宋_GBK" w:cs="方正小标宋_GBK"/>
          <w:color w:val="auto"/>
          <w:sz w:val="44"/>
          <w:szCs w:val="44"/>
          <w:u w:val="none"/>
          <w:lang w:eastAsia="zh-CN"/>
        </w:rPr>
        <w:t>促进</w:t>
      </w:r>
      <w:r>
        <w:rPr>
          <w:rFonts w:hint="eastAsia" w:ascii="方正小标宋_GBK" w:hAnsi="方正小标宋_GBK" w:eastAsia="方正小标宋_GBK" w:cs="方正小标宋_GBK"/>
          <w:color w:val="auto"/>
          <w:sz w:val="44"/>
          <w:szCs w:val="44"/>
          <w:u w:val="none"/>
        </w:rPr>
        <w:t>文化旅游体育产业发展</w:t>
      </w:r>
      <w:bookmarkEnd w:id="1589"/>
      <w:bookmarkEnd w:id="1590"/>
      <w:bookmarkEnd w:id="1591"/>
      <w:bookmarkEnd w:id="1592"/>
      <w:bookmarkEnd w:id="1593"/>
      <w:bookmarkEnd w:id="1594"/>
      <w:bookmarkEnd w:id="1595"/>
      <w:bookmarkEnd w:id="1596"/>
      <w:bookmarkEnd w:id="1597"/>
      <w:bookmarkEnd w:id="1598"/>
      <w:bookmarkEnd w:id="1599"/>
      <w:bookmarkStart w:id="1600" w:name="_Toc69913561"/>
      <w:bookmarkStart w:id="1601" w:name="_Toc2132"/>
      <w:bookmarkStart w:id="1602" w:name="_Toc69913756"/>
      <w:bookmarkStart w:id="1603" w:name="_Toc69913862"/>
      <w:bookmarkStart w:id="1604" w:name="_Toc6266"/>
      <w:bookmarkStart w:id="1605" w:name="_Toc14221"/>
      <w:bookmarkStart w:id="1606" w:name="_Toc8962"/>
      <w:bookmarkStart w:id="1607" w:name="_Toc15548"/>
      <w:bookmarkStart w:id="1608" w:name="_Toc32439"/>
      <w:bookmarkStart w:id="1609" w:name="_Toc12501"/>
      <w:bookmarkStart w:id="1610" w:name="_Toc27170"/>
      <w:bookmarkStart w:id="1611" w:name="_Toc24286"/>
    </w:p>
    <w:p>
      <w:pPr>
        <w:keepNext w:val="0"/>
        <w:keepLines w:val="0"/>
        <w:pageBreakBefore w:val="0"/>
        <w:widowControl w:val="0"/>
        <w:wordWrap/>
        <w:topLinePunct w:val="0"/>
        <w:bidi w:val="0"/>
        <w:spacing w:beforeAutospacing="0" w:afterAutospacing="0" w:line="560" w:lineRule="exact"/>
        <w:ind w:left="0" w:leftChars="0"/>
        <w:jc w:val="center"/>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u w:val="none"/>
          <w:lang w:eastAsia="zh-CN"/>
        </w:rPr>
        <w:t>专项</w:t>
      </w:r>
      <w:r>
        <w:rPr>
          <w:rFonts w:hint="eastAsia" w:ascii="方正小标宋_GBK" w:hAnsi="方正小标宋_GBK" w:eastAsia="方正小标宋_GBK" w:cs="方正小标宋_GBK"/>
          <w:color w:val="auto"/>
          <w:sz w:val="44"/>
          <w:szCs w:val="44"/>
          <w:u w:val="none"/>
        </w:rPr>
        <w:t>扶持</w:t>
      </w:r>
      <w:bookmarkEnd w:id="1600"/>
      <w:bookmarkEnd w:id="1601"/>
      <w:bookmarkEnd w:id="1602"/>
      <w:bookmarkEnd w:id="1603"/>
      <w:bookmarkEnd w:id="1604"/>
      <w:bookmarkEnd w:id="1605"/>
      <w:r>
        <w:rPr>
          <w:rFonts w:hint="eastAsia" w:ascii="方正小标宋_GBK" w:hAnsi="方正小标宋_GBK" w:eastAsia="方正小标宋_GBK" w:cs="方正小标宋_GBK"/>
          <w:color w:val="auto"/>
          <w:sz w:val="44"/>
          <w:szCs w:val="44"/>
        </w:rPr>
        <w:t>措施</w:t>
      </w:r>
      <w:bookmarkEnd w:id="1606"/>
      <w:bookmarkEnd w:id="1607"/>
      <w:bookmarkEnd w:id="1608"/>
      <w:bookmarkEnd w:id="1609"/>
      <w:bookmarkEnd w:id="1610"/>
      <w:bookmarkEnd w:id="1611"/>
    </w:p>
    <w:p>
      <w:pPr>
        <w:keepNext w:val="0"/>
        <w:keepLines w:val="0"/>
        <w:pageBreakBefore w:val="0"/>
        <w:widowControl w:val="0"/>
        <w:wordWrap/>
        <w:topLinePunct w:val="0"/>
        <w:bidi w:val="0"/>
        <w:spacing w:beforeAutospacing="0" w:afterAutospacing="0" w:line="560" w:lineRule="exact"/>
        <w:ind w:left="0" w:leftChars="0"/>
        <w:jc w:val="center"/>
        <w:rPr>
          <w:rFonts w:hint="eastAsia" w:ascii="宋体" w:hAnsi="宋体" w:eastAsia="宋体" w:cs="宋体"/>
          <w:b/>
          <w:bCs/>
          <w:color w:val="auto"/>
          <w:kern w:val="0"/>
          <w:sz w:val="36"/>
          <w:szCs w:val="36"/>
          <w:lang w:eastAsia="zh-CN"/>
        </w:rPr>
      </w:pPr>
      <w:r>
        <w:rPr>
          <w:rFonts w:hint="eastAsia" w:ascii="宋体" w:hAnsi="宋体" w:eastAsia="宋体" w:cs="宋体"/>
          <w:b/>
          <w:bCs/>
          <w:color w:val="auto"/>
          <w:kern w:val="0"/>
          <w:sz w:val="36"/>
          <w:szCs w:val="36"/>
          <w:lang w:eastAsia="zh-CN"/>
        </w:rPr>
        <w:t>（征求意见稿）</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firstLine="640" w:firstLineChars="200"/>
        <w:outlineLvl w:val="0"/>
        <w:rPr>
          <w:rFonts w:hint="eastAsia"/>
          <w:b w:val="0"/>
          <w:bCs w:val="0"/>
          <w:color w:val="auto"/>
          <w:u w:val="none"/>
        </w:rPr>
      </w:pPr>
      <w:bookmarkStart w:id="1612" w:name="_Toc3510"/>
      <w:bookmarkStart w:id="1613" w:name="_Toc4806"/>
      <w:bookmarkStart w:id="1614" w:name="_Toc14782"/>
      <w:bookmarkStart w:id="1615" w:name="_Toc16012"/>
      <w:bookmarkStart w:id="1616" w:name="_Toc22007"/>
      <w:bookmarkStart w:id="1617" w:name="_Toc11982"/>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firstLine="640" w:firstLineChars="200"/>
        <w:outlineLvl w:val="0"/>
        <w:rPr>
          <w:rFonts w:eastAsia="黑体"/>
          <w:b w:val="0"/>
          <w:bCs w:val="0"/>
          <w:color w:val="auto"/>
          <w:kern w:val="44"/>
          <w:szCs w:val="44"/>
          <w:highlight w:val="none"/>
        </w:rPr>
      </w:pPr>
      <w:r>
        <w:rPr>
          <w:rFonts w:hint="eastAsia"/>
          <w:b w:val="0"/>
          <w:bCs w:val="0"/>
          <w:color w:val="auto"/>
          <w:highlight w:val="none"/>
          <w:u w:val="none"/>
        </w:rPr>
        <w:t>第一章</w:t>
      </w:r>
      <w:r>
        <w:rPr>
          <w:rFonts w:hint="eastAsia"/>
          <w:b w:val="0"/>
          <w:bCs w:val="0"/>
          <w:color w:val="auto"/>
          <w:highlight w:val="none"/>
          <w:u w:val="none"/>
          <w:lang w:val="en-US" w:eastAsia="zh-CN"/>
        </w:rPr>
        <w:t xml:space="preserve">  </w:t>
      </w:r>
      <w:r>
        <w:rPr>
          <w:rFonts w:hint="eastAsia"/>
          <w:b w:val="0"/>
          <w:bCs w:val="0"/>
          <w:color w:val="auto"/>
          <w:highlight w:val="none"/>
          <w:u w:val="none"/>
        </w:rPr>
        <w:t>总</w:t>
      </w:r>
      <w:r>
        <w:rPr>
          <w:rFonts w:hint="eastAsia"/>
          <w:b w:val="0"/>
          <w:bCs w:val="0"/>
          <w:color w:val="auto"/>
          <w:highlight w:val="none"/>
          <w:u w:val="none"/>
          <w:lang w:val="en-US" w:eastAsia="zh-CN"/>
        </w:rPr>
        <w:t xml:space="preserve">  </w:t>
      </w:r>
      <w:r>
        <w:rPr>
          <w:rFonts w:hint="eastAsia"/>
          <w:b w:val="0"/>
          <w:bCs w:val="0"/>
          <w:color w:val="auto"/>
          <w:highlight w:val="none"/>
          <w:u w:val="none"/>
        </w:rPr>
        <w:t>则</w:t>
      </w:r>
      <w:bookmarkEnd w:id="1612"/>
      <w:bookmarkEnd w:id="1613"/>
      <w:bookmarkEnd w:id="1614"/>
      <w:bookmarkEnd w:id="1615"/>
      <w:bookmarkEnd w:id="1616"/>
      <w:bookmarkEnd w:id="1617"/>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1"/>
        <w:textAlignment w:val="baseline"/>
        <w:rPr>
          <w:rFonts w:hint="eastAsia" w:eastAsia="楷体_GB2312" w:asciiTheme="majorHAnsi" w:hAnsiTheme="majorHAnsi" w:cstheme="majorBidi"/>
          <w:b/>
          <w:bCs/>
          <w:color w:val="auto"/>
          <w:szCs w:val="32"/>
          <w:highlight w:val="none"/>
          <w:u w:val="none"/>
        </w:rPr>
      </w:pPr>
    </w:p>
    <w:p>
      <w:pPr>
        <w:keepNext w:val="0"/>
        <w:keepLines w:val="0"/>
        <w:pageBreakBefore w:val="0"/>
        <w:widowControl w:val="0"/>
        <w:kinsoku/>
        <w:wordWrap/>
        <w:overflowPunct/>
        <w:topLinePunct w:val="0"/>
        <w:bidi w:val="0"/>
        <w:spacing w:beforeAutospacing="0" w:afterAutospacing="0" w:line="560" w:lineRule="exact"/>
        <w:ind w:left="0" w:leftChars="0" w:firstLine="641"/>
        <w:textAlignment w:val="baseline"/>
        <w:rPr>
          <w:rFonts w:ascii="仿宋_GB2312" w:hAnsi="仿宋_GB2312"/>
          <w:color w:val="auto"/>
          <w:szCs w:val="22"/>
          <w:highlight w:val="none"/>
        </w:rPr>
      </w:pPr>
      <w:r>
        <w:rPr>
          <w:rFonts w:hint="eastAsia" w:eastAsia="楷体_GB2312" w:asciiTheme="majorHAnsi" w:hAnsiTheme="majorHAnsi" w:cstheme="majorBidi"/>
          <w:b/>
          <w:bCs/>
          <w:color w:val="auto"/>
          <w:szCs w:val="32"/>
          <w:highlight w:val="none"/>
          <w:u w:val="none"/>
        </w:rPr>
        <w:t>第一条</w:t>
      </w:r>
      <w:r>
        <w:rPr>
          <w:rFonts w:ascii="黑体" w:hAnsi="黑体" w:eastAsia="黑体" w:cs="黑体"/>
          <w:color w:val="auto"/>
          <w:szCs w:val="22"/>
          <w:highlight w:val="none"/>
        </w:rPr>
        <w:t xml:space="preserve"> </w:t>
      </w:r>
      <w:r>
        <w:rPr>
          <w:rFonts w:hint="eastAsia" w:ascii="黑体" w:hAnsi="黑体" w:eastAsia="黑体" w:cs="黑体"/>
          <w:color w:val="auto"/>
          <w:szCs w:val="22"/>
          <w:highlight w:val="none"/>
          <w:lang w:val="en-US" w:eastAsia="zh-CN"/>
        </w:rPr>
        <w:t xml:space="preserve"> </w:t>
      </w:r>
      <w:r>
        <w:rPr>
          <w:rFonts w:hint="eastAsia" w:ascii="仿宋_GB2312" w:hAnsi="仿宋_GB2312"/>
          <w:color w:val="auto"/>
          <w:szCs w:val="22"/>
          <w:highlight w:val="none"/>
        </w:rPr>
        <w:t>为提升南山区文化产业核心竞争力和“软实力”，推动南山区文化产业高质量发展，按照国家及省、市、区有关文化产业发展规划，根据《南山区自主创新产业发展专项资金管理办法》的规定和要求，制定本措施。</w:t>
      </w:r>
    </w:p>
    <w:p>
      <w:pPr>
        <w:keepNext w:val="0"/>
        <w:keepLines w:val="0"/>
        <w:pageBreakBefore w:val="0"/>
        <w:widowControl w:val="0"/>
        <w:kinsoku/>
        <w:wordWrap/>
        <w:overflowPunct/>
        <w:topLinePunct w:val="0"/>
        <w:bidi w:val="0"/>
        <w:spacing w:beforeAutospacing="0" w:afterAutospacing="0" w:line="560" w:lineRule="exact"/>
        <w:ind w:left="0" w:leftChars="0" w:firstLine="641"/>
        <w:textAlignment w:val="baseline"/>
        <w:rPr>
          <w:rFonts w:ascii="仿宋_GB2312" w:hAnsi="仿宋_GB2312"/>
          <w:color w:val="auto"/>
          <w:szCs w:val="22"/>
          <w:highlight w:val="none"/>
        </w:rPr>
      </w:pPr>
      <w:r>
        <w:rPr>
          <w:rFonts w:hint="eastAsia" w:eastAsia="楷体_GB2312" w:asciiTheme="majorHAnsi" w:hAnsiTheme="majorHAnsi" w:cstheme="majorBidi"/>
          <w:b/>
          <w:bCs/>
          <w:color w:val="auto"/>
          <w:szCs w:val="32"/>
          <w:highlight w:val="none"/>
          <w:u w:val="none"/>
        </w:rPr>
        <w:t>第二条</w:t>
      </w:r>
      <w:r>
        <w:rPr>
          <w:rFonts w:ascii="黑体" w:hAnsi="黑体" w:eastAsia="黑体" w:cs="黑体"/>
          <w:color w:val="auto"/>
          <w:szCs w:val="22"/>
          <w:highlight w:val="none"/>
        </w:rPr>
        <w:t xml:space="preserve"> </w:t>
      </w:r>
      <w:r>
        <w:rPr>
          <w:rFonts w:hint="eastAsia" w:ascii="黑体" w:hAnsi="黑体" w:eastAsia="黑体" w:cs="黑体"/>
          <w:color w:val="auto"/>
          <w:szCs w:val="22"/>
          <w:highlight w:val="none"/>
          <w:lang w:val="en-US" w:eastAsia="zh-CN"/>
        </w:rPr>
        <w:t xml:space="preserve"> </w:t>
      </w:r>
      <w:r>
        <w:rPr>
          <w:rFonts w:hint="eastAsia" w:ascii="仿宋_GB2312" w:hAnsi="仿宋_GB2312"/>
          <w:color w:val="auto"/>
          <w:szCs w:val="22"/>
          <w:highlight w:val="none"/>
        </w:rPr>
        <w:t>区文化广电旅游体育局为本措施的主管部门，区自主创新产业发展专项资金领导小组为本措施的决策审批机构，相关部门按有关规定履行职责。</w:t>
      </w:r>
    </w:p>
    <w:p>
      <w:pPr>
        <w:keepNext w:val="0"/>
        <w:keepLines w:val="0"/>
        <w:pageBreakBefore w:val="0"/>
        <w:widowControl w:val="0"/>
        <w:kinsoku/>
        <w:wordWrap/>
        <w:overflowPunct/>
        <w:topLinePunct w:val="0"/>
        <w:autoSpaceDE/>
        <w:bidi w:val="0"/>
        <w:adjustRightInd/>
        <w:snapToGrid/>
        <w:spacing w:beforeAutospacing="0" w:afterAutospacing="0" w:line="560" w:lineRule="exact"/>
        <w:ind w:left="0" w:leftChars="0" w:firstLine="643" w:firstLineChars="200"/>
        <w:textAlignment w:val="auto"/>
        <w:outlineLvl w:val="9"/>
        <w:rPr>
          <w:rFonts w:ascii="仿宋_GB2312" w:hAnsi="仿宋_GB2312"/>
          <w:color w:val="auto"/>
          <w:szCs w:val="22"/>
          <w:highlight w:val="none"/>
        </w:rPr>
      </w:pPr>
      <w:r>
        <w:rPr>
          <w:rFonts w:hint="eastAsia" w:eastAsia="楷体_GB2312" w:asciiTheme="majorHAnsi" w:hAnsiTheme="majorHAnsi" w:cstheme="majorBidi"/>
          <w:b/>
          <w:bCs/>
          <w:color w:val="auto"/>
          <w:szCs w:val="32"/>
          <w:highlight w:val="none"/>
          <w:u w:val="none"/>
        </w:rPr>
        <w:t>第三条</w:t>
      </w:r>
      <w:r>
        <w:rPr>
          <w:rFonts w:eastAsia="楷体_GB2312" w:asciiTheme="majorHAnsi" w:hAnsiTheme="majorHAnsi" w:cstheme="majorBidi"/>
          <w:b/>
          <w:bCs/>
          <w:color w:val="auto"/>
          <w:szCs w:val="32"/>
          <w:highlight w:val="none"/>
          <w:u w:val="none"/>
        </w:rPr>
        <w:t xml:space="preserve"> </w:t>
      </w:r>
      <w:bookmarkStart w:id="1618" w:name="OLE_LINK31"/>
      <w:bookmarkStart w:id="1619" w:name="OLE_LINK7"/>
      <w:r>
        <w:rPr>
          <w:rFonts w:hint="eastAsia" w:eastAsia="楷体_GB2312" w:asciiTheme="majorHAnsi" w:hAnsiTheme="majorHAnsi" w:cstheme="majorBidi"/>
          <w:b/>
          <w:bCs/>
          <w:color w:val="auto"/>
          <w:szCs w:val="32"/>
          <w:highlight w:val="none"/>
          <w:u w:val="none"/>
          <w:lang w:val="en-US" w:eastAsia="zh-CN"/>
        </w:rPr>
        <w:t xml:space="preserve"> </w:t>
      </w:r>
      <w:r>
        <w:rPr>
          <w:rFonts w:hint="eastAsia" w:ascii="仿宋_GB2312" w:hAnsi="仿宋_GB2312"/>
          <w:color w:val="auto"/>
          <w:szCs w:val="22"/>
          <w:highlight w:val="none"/>
        </w:rPr>
        <w:t>本措施的申报单位必须满足《南山区自主创新产业发展专项资金管理办法》规定的基本条件，</w:t>
      </w:r>
      <w:bookmarkEnd w:id="1618"/>
      <w:bookmarkEnd w:id="1619"/>
      <w:r>
        <w:rPr>
          <w:rFonts w:hint="eastAsia" w:ascii="仿宋_GB2312" w:hAnsi="仿宋_GB2312"/>
          <w:color w:val="auto"/>
          <w:szCs w:val="22"/>
          <w:highlight w:val="none"/>
        </w:rPr>
        <w:t>以下情况不受“独立法人资格”条件的限制：申报“支持旅游业创新发展”项目资助的，申报条件可以是注册、经营地在南山区的旅游企业在本辖区设立、经营的分支机构。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textAlignment w:val="auto"/>
        <w:outlineLvl w:val="9"/>
        <w:rPr>
          <w:rFonts w:ascii="仿宋_GB2312" w:hAnsi="仿宋_GB2312"/>
          <w:color w:val="auto"/>
          <w:szCs w:val="22"/>
          <w:highlight w:val="none"/>
        </w:rPr>
      </w:pP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jc w:val="center"/>
        <w:textAlignment w:val="auto"/>
        <w:outlineLvl w:val="0"/>
        <w:rPr>
          <w:color w:val="auto"/>
          <w:highlight w:val="none"/>
        </w:rPr>
      </w:pPr>
      <w:bookmarkStart w:id="1620" w:name="_Toc13479"/>
      <w:bookmarkStart w:id="1621" w:name="_Toc21160"/>
      <w:bookmarkStart w:id="1622" w:name="_Toc18545"/>
      <w:bookmarkStart w:id="1623" w:name="_Toc2857"/>
      <w:bookmarkStart w:id="1624" w:name="_Toc7237"/>
      <w:bookmarkStart w:id="1625" w:name="_Toc69913863"/>
      <w:bookmarkStart w:id="1626" w:name="_Toc17130"/>
      <w:bookmarkStart w:id="1627" w:name="_Toc17411"/>
      <w:bookmarkStart w:id="1628" w:name="_Toc28196"/>
      <w:bookmarkStart w:id="1629" w:name="_Toc30093"/>
      <w:bookmarkStart w:id="1630" w:name="_Toc3943"/>
      <w:r>
        <w:rPr>
          <w:rFonts w:hint="eastAsia"/>
          <w:color w:val="auto"/>
          <w:highlight w:val="none"/>
          <w:u w:val="none"/>
        </w:rPr>
        <w:t>第</w:t>
      </w:r>
      <w:r>
        <w:rPr>
          <w:rFonts w:hint="eastAsia"/>
          <w:color w:val="auto"/>
          <w:highlight w:val="none"/>
        </w:rPr>
        <w:t>二</w:t>
      </w:r>
      <w:r>
        <w:rPr>
          <w:rFonts w:hint="eastAsia"/>
          <w:color w:val="auto"/>
          <w:highlight w:val="none"/>
          <w:u w:val="none"/>
        </w:rPr>
        <w:t>章</w:t>
      </w:r>
      <w:r>
        <w:rPr>
          <w:color w:val="auto"/>
          <w:highlight w:val="none"/>
          <w:u w:val="none"/>
        </w:rPr>
        <w:t xml:space="preserve"> </w:t>
      </w:r>
      <w:r>
        <w:rPr>
          <w:rFonts w:hint="eastAsia"/>
          <w:color w:val="auto"/>
          <w:highlight w:val="none"/>
          <w:u w:val="none"/>
          <w:lang w:val="en-US" w:eastAsia="zh-CN"/>
        </w:rPr>
        <w:t xml:space="preserve"> </w:t>
      </w:r>
      <w:r>
        <w:rPr>
          <w:rFonts w:hint="eastAsia"/>
          <w:color w:val="auto"/>
          <w:highlight w:val="none"/>
          <w:u w:val="none"/>
        </w:rPr>
        <w:t>支持文体</w:t>
      </w:r>
      <w:r>
        <w:rPr>
          <w:rFonts w:hint="eastAsia"/>
          <w:color w:val="auto"/>
          <w:highlight w:val="none"/>
        </w:rPr>
        <w:t>产业空间</w:t>
      </w:r>
      <w:r>
        <w:rPr>
          <w:rFonts w:hint="eastAsia"/>
          <w:color w:val="auto"/>
          <w:highlight w:val="none"/>
          <w:u w:val="none"/>
        </w:rPr>
        <w:t>建设</w:t>
      </w:r>
      <w:bookmarkEnd w:id="1620"/>
      <w:bookmarkEnd w:id="1621"/>
      <w:bookmarkEnd w:id="1622"/>
      <w:bookmarkEnd w:id="1623"/>
      <w:bookmarkEnd w:id="1624"/>
      <w:bookmarkEnd w:id="1625"/>
      <w:bookmarkEnd w:id="1626"/>
      <w:bookmarkEnd w:id="1627"/>
      <w:bookmarkEnd w:id="1628"/>
      <w:bookmarkEnd w:id="1629"/>
      <w:bookmarkEnd w:id="1630"/>
    </w:p>
    <w:p>
      <w:pPr>
        <w:pStyle w:val="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firstLine="640"/>
        <w:textAlignment w:val="auto"/>
        <w:rPr>
          <w:rFonts w:hint="eastAsia"/>
          <w:bCs w:val="0"/>
          <w:color w:val="auto"/>
          <w:highlight w:val="none"/>
          <w:u w:val="none"/>
        </w:rPr>
      </w:pPr>
      <w:bookmarkStart w:id="1631" w:name="_Toc25737"/>
      <w:bookmarkStart w:id="1632" w:name="_Toc69913864"/>
      <w:bookmarkStart w:id="1633" w:name="_Toc7593"/>
      <w:bookmarkStart w:id="1634" w:name="_Toc26050"/>
      <w:bookmarkStart w:id="1635" w:name="_Toc26046"/>
      <w:bookmarkStart w:id="1636" w:name="_Toc4705"/>
      <w:bookmarkStart w:id="1637" w:name="_Toc26450"/>
      <w:bookmarkStart w:id="1638" w:name="_Toc9379"/>
      <w:bookmarkStart w:id="1639" w:name="_Toc10413"/>
      <w:bookmarkStart w:id="1640" w:name="_Toc3623"/>
    </w:p>
    <w:p>
      <w:pPr>
        <w:pStyle w:val="3"/>
        <w:keepNext w:val="0"/>
        <w:keepLines w:val="0"/>
        <w:pageBreakBefore w:val="0"/>
        <w:widowControl w:val="0"/>
        <w:kinsoku/>
        <w:wordWrap/>
        <w:overflowPunct/>
        <w:topLinePunct w:val="0"/>
        <w:autoSpaceDE/>
        <w:bidi w:val="0"/>
        <w:adjustRightInd/>
        <w:snapToGrid/>
        <w:spacing w:before="0" w:beforeLines="0" w:beforeAutospacing="0" w:after="0" w:afterLines="0" w:afterAutospacing="0" w:line="560" w:lineRule="exact"/>
        <w:ind w:left="0" w:leftChars="0" w:firstLine="643" w:firstLineChars="200"/>
        <w:textAlignment w:val="auto"/>
        <w:rPr>
          <w:rFonts w:hint="eastAsia" w:ascii="楷体_GB2312" w:hAnsi="楷体_GB2312" w:eastAsia="楷体_GB2312" w:cs="楷体_GB2312"/>
          <w:color w:val="auto"/>
          <w:highlight w:val="none"/>
          <w:u w:val="none"/>
        </w:rPr>
      </w:pPr>
      <w:r>
        <w:rPr>
          <w:rFonts w:hint="eastAsia" w:ascii="楷体_GB2312" w:hAnsi="楷体_GB2312" w:eastAsia="楷体_GB2312" w:cs="楷体_GB2312"/>
          <w:bCs/>
          <w:color w:val="auto"/>
          <w:highlight w:val="none"/>
          <w:u w:val="none"/>
        </w:rPr>
        <w:t xml:space="preserve">第四条 </w:t>
      </w:r>
      <w:bookmarkEnd w:id="1631"/>
      <w:bookmarkEnd w:id="1632"/>
      <w:bookmarkEnd w:id="1633"/>
      <w:bookmarkEnd w:id="1634"/>
      <w:bookmarkEnd w:id="1635"/>
      <w:bookmarkEnd w:id="1636"/>
      <w:bookmarkEnd w:id="1637"/>
      <w:bookmarkEnd w:id="1638"/>
      <w:bookmarkEnd w:id="1639"/>
      <w:bookmarkEnd w:id="1640"/>
      <w:bookmarkStart w:id="1641" w:name="_Toc26772"/>
      <w:bookmarkStart w:id="1642" w:name="_Toc6995"/>
      <w:bookmarkStart w:id="1643" w:name="_Toc15313"/>
      <w:bookmarkStart w:id="1644" w:name="_Toc1290"/>
      <w:bookmarkStart w:id="1645" w:name="_Toc27439"/>
      <w:bookmarkStart w:id="1646" w:name="_Toc14698"/>
      <w:bookmarkStart w:id="1647" w:name="_Toc28784"/>
      <w:bookmarkStart w:id="1648" w:name="_Toc69913865"/>
      <w:bookmarkStart w:id="1649" w:name="_Toc11128"/>
      <w:bookmarkStart w:id="1650" w:name="_Toc31787"/>
      <w:bookmarkStart w:id="1651" w:name="_Toc31637"/>
      <w:r>
        <w:rPr>
          <w:rFonts w:hint="eastAsia" w:ascii="楷体_GB2312" w:hAnsi="楷体_GB2312" w:eastAsia="楷体_GB2312" w:cs="楷体_GB2312"/>
          <w:bCs/>
          <w:color w:val="auto"/>
          <w:highlight w:val="none"/>
          <w:u w:val="none"/>
          <w:lang w:val="en-US" w:eastAsia="zh-CN"/>
        </w:rPr>
        <w:t xml:space="preserve"> </w:t>
      </w:r>
      <w:r>
        <w:rPr>
          <w:rFonts w:hint="eastAsia" w:ascii="楷体_GB2312" w:hAnsi="楷体_GB2312" w:eastAsia="楷体_GB2312" w:cs="楷体_GB2312"/>
          <w:b/>
          <w:color w:val="auto"/>
          <w:highlight w:val="none"/>
          <w:u w:val="none"/>
        </w:rPr>
        <w:t>支持文体产业空间改造升级</w:t>
      </w:r>
      <w:bookmarkEnd w:id="1641"/>
      <w:bookmarkEnd w:id="1642"/>
      <w:bookmarkEnd w:id="1643"/>
      <w:bookmarkEnd w:id="1644"/>
      <w:bookmarkEnd w:id="1645"/>
      <w:bookmarkEnd w:id="1646"/>
      <w:bookmarkEnd w:id="1647"/>
      <w:bookmarkEnd w:id="1648"/>
      <w:bookmarkEnd w:id="1649"/>
      <w:bookmarkEnd w:id="1650"/>
      <w:bookmarkEnd w:id="1651"/>
    </w:p>
    <w:p>
      <w:pPr>
        <w:keepNext w:val="0"/>
        <w:keepLines w:val="0"/>
        <w:pageBreakBefore w:val="0"/>
        <w:widowControl w:val="0"/>
        <w:kinsoku/>
        <w:wordWrap/>
        <w:overflowPunct/>
        <w:topLinePunct w:val="0"/>
        <w:autoSpaceDE/>
        <w:autoSpaceDN w:val="0"/>
        <w:bidi w:val="0"/>
        <w:adjustRightInd/>
        <w:snapToGrid/>
        <w:spacing w:beforeAutospacing="0" w:afterAutospacing="0" w:line="560" w:lineRule="exact"/>
        <w:ind w:left="0" w:leftChars="0" w:firstLine="640" w:firstLineChars="200"/>
        <w:textAlignment w:val="auto"/>
        <w:rPr>
          <w:rFonts w:ascii="仿宋_GB2312" w:hAnsi="黑体" w:cs="黑体"/>
          <w:color w:val="auto"/>
          <w:szCs w:val="32"/>
          <w:highlight w:val="none"/>
        </w:rPr>
      </w:pPr>
      <w:r>
        <w:rPr>
          <w:rFonts w:hint="eastAsia" w:ascii="仿宋_GB2312" w:hAnsi="黑体" w:cs="黑体"/>
          <w:color w:val="auto"/>
          <w:szCs w:val="32"/>
          <w:highlight w:val="none"/>
        </w:rPr>
        <w:t>对经认定的文化、体育产业园区、孵化器等产业空间，最高按其基础设施建设实际投入费用</w:t>
      </w:r>
      <w:r>
        <w:rPr>
          <w:rFonts w:ascii="仿宋_GB2312" w:hAnsi="黑体" w:cs="黑体"/>
          <w:color w:val="auto"/>
          <w:szCs w:val="32"/>
          <w:highlight w:val="none"/>
        </w:rPr>
        <w:t>20%，给予最高不超过300万元</w:t>
      </w:r>
      <w:r>
        <w:rPr>
          <w:rFonts w:hint="eastAsia" w:ascii="仿宋_GB2312" w:hAnsi="黑体" w:cs="黑体"/>
          <w:color w:val="auto"/>
          <w:szCs w:val="32"/>
          <w:highlight w:val="none"/>
        </w:rPr>
        <w:t>资助。</w:t>
      </w:r>
    </w:p>
    <w:p>
      <w:pPr>
        <w:pStyle w:val="3"/>
        <w:keepNext w:val="0"/>
        <w:keepLines w:val="0"/>
        <w:pageBreakBefore w:val="0"/>
        <w:widowControl w:val="0"/>
        <w:kinsoku/>
        <w:wordWrap/>
        <w:overflowPunct/>
        <w:topLinePunct w:val="0"/>
        <w:bidi w:val="0"/>
        <w:spacing w:before="0" w:beforeLines="0" w:beforeAutospacing="0" w:after="0" w:afterLines="0" w:afterAutospacing="0" w:line="560" w:lineRule="exact"/>
        <w:ind w:left="0" w:leftChars="0" w:firstLine="643" w:firstLineChars="200"/>
        <w:rPr>
          <w:rFonts w:hint="eastAsia" w:eastAsia="楷体_GB2312" w:asciiTheme="majorHAnsi" w:hAnsiTheme="majorHAnsi" w:cstheme="majorBidi"/>
          <w:b/>
          <w:bCs/>
          <w:kern w:val="2"/>
          <w:sz w:val="32"/>
          <w:szCs w:val="32"/>
          <w:lang w:val="en-US" w:eastAsia="zh-CN" w:bidi="ar-SA"/>
        </w:rPr>
      </w:pPr>
      <w:r>
        <w:rPr>
          <w:rFonts w:eastAsia="楷体_GB2312" w:asciiTheme="majorHAnsi" w:hAnsiTheme="majorHAnsi" w:cstheme="majorBidi"/>
          <w:b/>
          <w:bCs/>
          <w:kern w:val="2"/>
          <w:sz w:val="32"/>
          <w:szCs w:val="32"/>
          <w:lang w:val="en-US" w:eastAsia="zh-CN" w:bidi="ar-SA"/>
        </w:rPr>
        <w:t>第五条</w:t>
      </w:r>
      <w:r>
        <w:rPr>
          <w:rFonts w:hint="eastAsia" w:eastAsia="楷体_GB2312" w:asciiTheme="majorHAnsi" w:hAnsiTheme="majorHAnsi" w:cstheme="majorBidi"/>
          <w:b/>
          <w:bCs/>
          <w:kern w:val="2"/>
          <w:sz w:val="32"/>
          <w:szCs w:val="32"/>
          <w:lang w:val="en-US" w:eastAsia="zh-CN" w:bidi="ar-SA"/>
        </w:rPr>
        <w:t xml:space="preserve"> </w:t>
      </w:r>
      <w:bookmarkStart w:id="1652" w:name="_Toc4470"/>
      <w:bookmarkStart w:id="1653" w:name="_Toc18663"/>
      <w:bookmarkStart w:id="1654" w:name="_Toc17327"/>
      <w:bookmarkStart w:id="1655" w:name="_Toc3146"/>
      <w:bookmarkStart w:id="1656" w:name="_Toc29867"/>
      <w:bookmarkStart w:id="1657" w:name="_Toc69913866"/>
      <w:bookmarkStart w:id="1658" w:name="_Toc24199"/>
      <w:bookmarkStart w:id="1659" w:name="_Toc26786"/>
      <w:bookmarkStart w:id="1660" w:name="_Toc24587"/>
      <w:bookmarkStart w:id="1661" w:name="_Toc18874"/>
      <w:bookmarkStart w:id="1662" w:name="_Toc17899"/>
      <w:r>
        <w:rPr>
          <w:rFonts w:eastAsia="楷体_GB2312" w:asciiTheme="majorHAnsi" w:hAnsiTheme="majorHAnsi" w:cstheme="majorBidi"/>
          <w:b/>
          <w:bCs/>
          <w:kern w:val="2"/>
          <w:sz w:val="32"/>
          <w:szCs w:val="32"/>
          <w:lang w:val="en-US" w:eastAsia="zh-CN" w:bidi="ar-SA"/>
        </w:rPr>
        <w:t xml:space="preserve"> 支持文体产业空间塑造品牌、扩大知名度</w:t>
      </w:r>
      <w:bookmarkEnd w:id="1652"/>
      <w:bookmarkEnd w:id="1653"/>
      <w:bookmarkEnd w:id="1654"/>
      <w:bookmarkEnd w:id="1655"/>
      <w:bookmarkEnd w:id="1656"/>
      <w:bookmarkEnd w:id="1657"/>
      <w:bookmarkEnd w:id="1658"/>
      <w:bookmarkEnd w:id="1659"/>
      <w:bookmarkEnd w:id="1660"/>
      <w:bookmarkEnd w:id="1661"/>
      <w:bookmarkEnd w:id="1662"/>
    </w:p>
    <w:p>
      <w:pPr>
        <w:keepNext w:val="0"/>
        <w:keepLines w:val="0"/>
        <w:pageBreakBefore w:val="0"/>
        <w:widowControl w:val="0"/>
        <w:kinsoku/>
        <w:wordWrap/>
        <w:overflowPunct/>
        <w:topLinePunct w:val="0"/>
        <w:autoSpaceDN w:val="0"/>
        <w:bidi w:val="0"/>
        <w:spacing w:beforeAutospacing="0" w:afterAutospacing="0" w:line="560" w:lineRule="exact"/>
        <w:ind w:left="0" w:leftChars="0" w:firstLine="640" w:firstLineChars="200"/>
        <w:rPr>
          <w:rFonts w:ascii="仿宋_GB2312" w:hAnsi="仿宋_GB2312" w:cs="仿宋_GB2312"/>
          <w:color w:val="auto"/>
          <w:szCs w:val="32"/>
          <w:highlight w:val="none"/>
        </w:rPr>
      </w:pPr>
      <w:r>
        <w:rPr>
          <w:rFonts w:hint="eastAsia" w:ascii="仿宋_GB2312" w:hAnsi="仿宋_GB2312" w:cs="仿宋_GB2312"/>
          <w:color w:val="auto"/>
          <w:szCs w:val="32"/>
          <w:highlight w:val="none"/>
        </w:rPr>
        <w:t>对经认定的文化、体育产业园区、孵化器等产业空间，运营单位在空间内举办较有影响力的品牌活动，对其中一项按实际发生费用的</w:t>
      </w:r>
      <w:r>
        <w:rPr>
          <w:rFonts w:ascii="仿宋_GB2312" w:hAnsi="仿宋_GB2312" w:cs="仿宋_GB2312"/>
          <w:color w:val="auto"/>
          <w:szCs w:val="32"/>
          <w:highlight w:val="none"/>
        </w:rPr>
        <w:t>50％给予资助。每个</w:t>
      </w:r>
      <w:r>
        <w:rPr>
          <w:rFonts w:hint="eastAsia" w:ascii="仿宋_GB2312" w:hAnsi="仿宋_GB2312" w:cs="仿宋_GB2312"/>
          <w:color w:val="auto"/>
          <w:szCs w:val="32"/>
          <w:highlight w:val="none"/>
        </w:rPr>
        <w:t>产业空间每年最高不超过</w:t>
      </w:r>
      <w:r>
        <w:rPr>
          <w:rFonts w:ascii="仿宋_GB2312" w:hAnsi="仿宋_GB2312" w:cs="仿宋_GB2312"/>
          <w:color w:val="auto"/>
          <w:szCs w:val="32"/>
          <w:highlight w:val="none"/>
        </w:rPr>
        <w:t>100万元。</w:t>
      </w:r>
    </w:p>
    <w:p>
      <w:pPr>
        <w:keepNext w:val="0"/>
        <w:keepLines w:val="0"/>
        <w:pageBreakBefore w:val="0"/>
        <w:widowControl w:val="0"/>
        <w:kinsoku/>
        <w:wordWrap/>
        <w:overflowPunct/>
        <w:topLinePunct w:val="0"/>
        <w:bidi w:val="0"/>
        <w:spacing w:beforeAutospacing="0" w:afterAutospacing="0" w:line="560" w:lineRule="exact"/>
        <w:ind w:left="0" w:leftChars="0" w:firstLine="643" w:firstLineChars="200"/>
        <w:jc w:val="both"/>
        <w:outlineLvl w:val="1"/>
        <w:rPr>
          <w:rFonts w:eastAsia="楷体_GB2312" w:asciiTheme="majorHAnsi" w:hAnsiTheme="majorHAnsi" w:cstheme="majorBidi"/>
          <w:b/>
          <w:bCs/>
          <w:kern w:val="2"/>
          <w:sz w:val="32"/>
          <w:szCs w:val="32"/>
          <w:lang w:val="en-US" w:eastAsia="zh-CN" w:bidi="ar-SA"/>
        </w:rPr>
      </w:pPr>
      <w:r>
        <w:rPr>
          <w:rFonts w:hint="default" w:eastAsia="楷体_GB2312" w:asciiTheme="majorHAnsi" w:hAnsiTheme="majorHAnsi" w:cstheme="majorBidi"/>
          <w:b/>
          <w:bCs/>
          <w:kern w:val="2"/>
          <w:sz w:val="32"/>
          <w:szCs w:val="32"/>
          <w:lang w:val="en-US" w:eastAsia="zh-CN" w:bidi="ar-SA"/>
        </w:rPr>
        <w:t>第六条</w:t>
      </w:r>
      <w:r>
        <w:rPr>
          <w:rFonts w:eastAsia="楷体_GB2312" w:asciiTheme="majorHAnsi" w:hAnsiTheme="majorHAnsi" w:cstheme="majorBidi"/>
          <w:b/>
          <w:bCs/>
          <w:kern w:val="2"/>
          <w:sz w:val="32"/>
          <w:szCs w:val="32"/>
          <w:lang w:val="en-US" w:eastAsia="zh-CN" w:bidi="ar-SA"/>
        </w:rPr>
        <w:t xml:space="preserve"> </w:t>
      </w:r>
      <w:r>
        <w:rPr>
          <w:rFonts w:hint="default" w:eastAsia="楷体_GB2312" w:asciiTheme="majorHAnsi" w:hAnsiTheme="majorHAnsi" w:cstheme="majorBidi"/>
          <w:b/>
          <w:bCs/>
          <w:kern w:val="2"/>
          <w:sz w:val="32"/>
          <w:szCs w:val="32"/>
          <w:lang w:val="en-US" w:eastAsia="zh-CN" w:bidi="ar-SA"/>
        </w:rPr>
        <w:t xml:space="preserve"> 支持文体产业空间创优评级</w:t>
      </w:r>
    </w:p>
    <w:p>
      <w:pPr>
        <w:keepNext w:val="0"/>
        <w:keepLines w:val="0"/>
        <w:pageBreakBefore w:val="0"/>
        <w:widowControl w:val="0"/>
        <w:kinsoku/>
        <w:wordWrap/>
        <w:overflowPunct/>
        <w:topLinePunct w:val="0"/>
        <w:bidi w:val="0"/>
        <w:spacing w:beforeAutospacing="0" w:afterAutospacing="0" w:line="560" w:lineRule="exact"/>
        <w:ind w:left="0" w:leftChars="0" w:firstLine="641"/>
        <w:textAlignment w:val="baseline"/>
        <w:rPr>
          <w:rFonts w:ascii="仿宋_GB2312" w:hAnsi="仿宋_GB2312"/>
          <w:color w:val="auto"/>
          <w:szCs w:val="22"/>
          <w:highlight w:val="none"/>
        </w:rPr>
      </w:pPr>
      <w:r>
        <w:rPr>
          <w:rFonts w:hint="eastAsia" w:ascii="仿宋_GB2312" w:hAnsi="仿宋_GB2312"/>
          <w:color w:val="auto"/>
          <w:szCs w:val="22"/>
          <w:highlight w:val="none"/>
        </w:rPr>
        <w:t>对被评为国家级、省级、市级文化、体育产业（示范）园区、孵化器等的产业空间，分别给予最高不超过300万元、200万元、100万元一次性奖励。获得升格认定的，可申请差额部分奖励。</w:t>
      </w:r>
    </w:p>
    <w:p>
      <w:pPr>
        <w:keepNext w:val="0"/>
        <w:keepLines w:val="0"/>
        <w:pageBreakBefore w:val="0"/>
        <w:widowControl w:val="0"/>
        <w:kinsoku/>
        <w:wordWrap/>
        <w:overflowPunct/>
        <w:topLinePunct w:val="0"/>
        <w:autoSpaceDE/>
        <w:autoSpaceDN w:val="0"/>
        <w:bidi w:val="0"/>
        <w:adjustRightInd/>
        <w:snapToGrid/>
        <w:spacing w:beforeAutospacing="0" w:afterAutospacing="0" w:line="560" w:lineRule="exact"/>
        <w:ind w:left="0" w:leftChars="0" w:firstLine="640" w:firstLineChars="200"/>
        <w:textAlignment w:val="auto"/>
        <w:rPr>
          <w:rFonts w:ascii="仿宋_GB2312" w:hAnsi="仿宋_GB2312" w:cs="仿宋_GB2312"/>
          <w:color w:val="auto"/>
          <w:szCs w:val="32"/>
          <w:highlight w:val="none"/>
        </w:rPr>
      </w:pPr>
    </w:p>
    <w:p>
      <w:pPr>
        <w:pStyle w:val="2"/>
        <w:keepNext w:val="0"/>
        <w:keepLines w:val="0"/>
        <w:pageBreakBefore w:val="0"/>
        <w:widowControl w:val="0"/>
        <w:kinsoku/>
        <w:wordWrap/>
        <w:overflowPunct/>
        <w:topLinePunct w:val="0"/>
        <w:autoSpaceDE/>
        <w:bidi w:val="0"/>
        <w:adjustRightInd/>
        <w:snapToGrid/>
        <w:spacing w:before="0" w:beforeLines="0" w:beforeAutospacing="0" w:after="0" w:afterLines="0" w:afterAutospacing="0" w:line="560" w:lineRule="exact"/>
        <w:ind w:left="0" w:leftChars="0"/>
        <w:jc w:val="center"/>
        <w:textAlignment w:val="auto"/>
        <w:rPr>
          <w:rFonts w:ascii="黑体" w:hAnsi="黑体" w:cs="黑体"/>
          <w:color w:val="auto"/>
          <w:szCs w:val="32"/>
          <w:highlight w:val="none"/>
        </w:rPr>
      </w:pPr>
      <w:bookmarkStart w:id="1663" w:name="_Toc14615"/>
      <w:bookmarkStart w:id="1664" w:name="_Toc28143"/>
      <w:bookmarkStart w:id="1665" w:name="_Toc10735"/>
      <w:bookmarkStart w:id="1666" w:name="_Toc713"/>
      <w:bookmarkStart w:id="1667" w:name="_Toc69913867"/>
      <w:bookmarkStart w:id="1668" w:name="_Toc31635"/>
      <w:bookmarkStart w:id="1669" w:name="_Toc10746"/>
      <w:bookmarkStart w:id="1670" w:name="_Toc18355"/>
      <w:bookmarkStart w:id="1671" w:name="_Toc30306"/>
      <w:bookmarkStart w:id="1672" w:name="_Toc899"/>
      <w:bookmarkStart w:id="1673" w:name="_Toc15456"/>
      <w:r>
        <w:rPr>
          <w:rFonts w:hint="eastAsia" w:ascii="黑体" w:hAnsi="黑体" w:cs="黑体"/>
          <w:bCs/>
          <w:color w:val="auto"/>
          <w:szCs w:val="32"/>
          <w:highlight w:val="none"/>
          <w:u w:val="none"/>
        </w:rPr>
        <w:t>第</w:t>
      </w:r>
      <w:r>
        <w:rPr>
          <w:rFonts w:hint="eastAsia" w:ascii="黑体" w:hAnsi="黑体" w:cs="黑体"/>
          <w:color w:val="auto"/>
          <w:szCs w:val="32"/>
          <w:highlight w:val="none"/>
        </w:rPr>
        <w:t>三</w:t>
      </w:r>
      <w:r>
        <w:rPr>
          <w:rFonts w:hint="eastAsia" w:ascii="黑体" w:hAnsi="黑体" w:cs="黑体"/>
          <w:bCs/>
          <w:color w:val="auto"/>
          <w:szCs w:val="32"/>
          <w:highlight w:val="none"/>
          <w:u w:val="none"/>
        </w:rPr>
        <w:t>章</w:t>
      </w:r>
      <w:r>
        <w:rPr>
          <w:rFonts w:ascii="黑体" w:hAnsi="黑体" w:cs="黑体"/>
          <w:bCs/>
          <w:color w:val="auto"/>
          <w:szCs w:val="32"/>
          <w:highlight w:val="none"/>
          <w:u w:val="none"/>
        </w:rPr>
        <w:t xml:space="preserve"> </w:t>
      </w:r>
      <w:r>
        <w:rPr>
          <w:rFonts w:hint="eastAsia" w:ascii="黑体" w:hAnsi="黑体" w:cs="黑体"/>
          <w:bCs/>
          <w:color w:val="auto"/>
          <w:szCs w:val="32"/>
          <w:highlight w:val="none"/>
          <w:u w:val="none"/>
          <w:lang w:val="en-US" w:eastAsia="zh-CN"/>
        </w:rPr>
        <w:t xml:space="preserve"> </w:t>
      </w:r>
      <w:r>
        <w:rPr>
          <w:rFonts w:hint="eastAsia" w:ascii="黑体" w:hAnsi="黑体" w:cs="黑体"/>
          <w:color w:val="auto"/>
          <w:szCs w:val="32"/>
          <w:highlight w:val="none"/>
        </w:rPr>
        <w:t>支持</w:t>
      </w:r>
      <w:r>
        <w:rPr>
          <w:rFonts w:hint="eastAsia" w:ascii="黑体" w:hAnsi="黑体" w:cs="黑体"/>
          <w:bCs/>
          <w:color w:val="auto"/>
          <w:szCs w:val="32"/>
          <w:highlight w:val="none"/>
          <w:u w:val="none"/>
        </w:rPr>
        <w:t>培育文化创意核心动能</w:t>
      </w:r>
      <w:bookmarkEnd w:id="1663"/>
      <w:bookmarkEnd w:id="1664"/>
      <w:bookmarkEnd w:id="1665"/>
      <w:bookmarkEnd w:id="1666"/>
      <w:bookmarkEnd w:id="1667"/>
      <w:bookmarkEnd w:id="1668"/>
      <w:bookmarkEnd w:id="1669"/>
      <w:bookmarkEnd w:id="1670"/>
      <w:bookmarkEnd w:id="1671"/>
      <w:bookmarkEnd w:id="1672"/>
      <w:bookmarkEnd w:id="1673"/>
    </w:p>
    <w:p>
      <w:pPr>
        <w:pStyle w:val="3"/>
        <w:keepNext w:val="0"/>
        <w:keepLines w:val="0"/>
        <w:pageBreakBefore w:val="0"/>
        <w:widowControl w:val="0"/>
        <w:kinsoku/>
        <w:wordWrap/>
        <w:overflowPunct/>
        <w:topLinePunct w:val="0"/>
        <w:autoSpaceDE/>
        <w:bidi w:val="0"/>
        <w:adjustRightInd/>
        <w:snapToGrid/>
        <w:spacing w:before="0" w:beforeLines="0" w:beforeAutospacing="0" w:after="0" w:afterLines="0" w:afterAutospacing="0" w:line="560" w:lineRule="exact"/>
        <w:ind w:left="0" w:leftChars="0" w:firstLine="640"/>
        <w:textAlignment w:val="auto"/>
        <w:rPr>
          <w:rFonts w:hint="eastAsia"/>
          <w:b/>
          <w:bCs w:val="0"/>
          <w:color w:val="auto"/>
          <w:highlight w:val="none"/>
          <w:u w:val="none"/>
        </w:rPr>
      </w:pPr>
      <w:bookmarkStart w:id="1674" w:name="_Toc69913868"/>
      <w:bookmarkStart w:id="1675" w:name="_Toc7191"/>
      <w:bookmarkStart w:id="1676" w:name="_Toc8571"/>
      <w:bookmarkStart w:id="1677" w:name="_Toc10254"/>
      <w:bookmarkStart w:id="1678" w:name="_Toc11433"/>
      <w:bookmarkStart w:id="1679" w:name="_Toc9212"/>
      <w:bookmarkStart w:id="1680" w:name="_Toc11714"/>
      <w:bookmarkStart w:id="1681" w:name="_Toc13076"/>
      <w:bookmarkStart w:id="1682" w:name="_Toc24615"/>
      <w:bookmarkStart w:id="1683" w:name="_Toc27512"/>
      <w:bookmarkStart w:id="1684" w:name="_Toc11629"/>
    </w:p>
    <w:p>
      <w:pPr>
        <w:keepNext w:val="0"/>
        <w:keepLines w:val="0"/>
        <w:pageBreakBefore w:val="0"/>
        <w:widowControl w:val="0"/>
        <w:kinsoku/>
        <w:wordWrap/>
        <w:overflowPunct/>
        <w:topLinePunct w:val="0"/>
        <w:bidi w:val="0"/>
        <w:spacing w:beforeAutospacing="0" w:afterAutospacing="0" w:line="560" w:lineRule="exact"/>
        <w:ind w:left="0" w:leftChars="0" w:firstLine="643"/>
        <w:rPr>
          <w:rFonts w:eastAsia="楷体_GB2312" w:asciiTheme="majorHAnsi" w:hAnsiTheme="majorHAnsi" w:cstheme="majorBidi"/>
          <w:b/>
          <w:bCs/>
          <w:szCs w:val="32"/>
        </w:rPr>
      </w:pPr>
      <w:r>
        <w:rPr>
          <w:rFonts w:hint="default" w:eastAsia="楷体_GB2312" w:asciiTheme="majorHAnsi" w:hAnsiTheme="majorHAnsi" w:cstheme="majorBidi"/>
          <w:b/>
          <w:bCs/>
          <w:szCs w:val="32"/>
          <w:u w:val="none"/>
        </w:rPr>
        <w:t>第</w:t>
      </w:r>
      <w:r>
        <w:rPr>
          <w:rFonts w:hint="default" w:eastAsia="楷体_GB2312" w:asciiTheme="majorHAnsi" w:hAnsiTheme="majorHAnsi" w:cstheme="majorBidi"/>
          <w:b/>
          <w:bCs/>
          <w:szCs w:val="32"/>
        </w:rPr>
        <w:t>七</w:t>
      </w:r>
      <w:r>
        <w:rPr>
          <w:rFonts w:hint="default" w:eastAsia="楷体_GB2312" w:asciiTheme="majorHAnsi" w:hAnsiTheme="majorHAnsi" w:cstheme="majorBidi"/>
          <w:b/>
          <w:bCs/>
          <w:szCs w:val="32"/>
          <w:u w:val="none"/>
        </w:rPr>
        <w:t>条</w:t>
      </w:r>
      <w:r>
        <w:rPr>
          <w:rFonts w:eastAsia="楷体_GB2312" w:asciiTheme="majorHAnsi" w:hAnsiTheme="majorHAnsi" w:cstheme="majorBidi"/>
          <w:b/>
          <w:bCs/>
          <w:szCs w:val="32"/>
          <w:u w:val="none"/>
        </w:rPr>
        <w:t xml:space="preserve"> </w:t>
      </w:r>
      <w:r>
        <w:rPr>
          <w:rFonts w:hint="default" w:eastAsia="楷体_GB2312" w:asciiTheme="majorHAnsi" w:hAnsiTheme="majorHAnsi" w:cstheme="majorBidi"/>
          <w:b/>
          <w:bCs/>
          <w:szCs w:val="32"/>
          <w:u w:val="none"/>
          <w:lang w:val="en-US" w:eastAsia="zh-CN"/>
        </w:rPr>
        <w:t xml:space="preserve"> </w:t>
      </w:r>
      <w:r>
        <w:rPr>
          <w:rFonts w:hint="default" w:eastAsia="楷体_GB2312" w:asciiTheme="majorHAnsi" w:hAnsiTheme="majorHAnsi" w:cstheme="majorBidi"/>
          <w:b/>
          <w:bCs/>
          <w:szCs w:val="32"/>
          <w:u w:val="none"/>
        </w:rPr>
        <w:t>鼓励文化精品原创</w:t>
      </w:r>
      <w:bookmarkEnd w:id="1674"/>
      <w:bookmarkEnd w:id="1675"/>
      <w:bookmarkEnd w:id="1676"/>
      <w:bookmarkEnd w:id="1677"/>
      <w:bookmarkEnd w:id="1678"/>
      <w:bookmarkEnd w:id="1679"/>
      <w:bookmarkEnd w:id="1680"/>
      <w:bookmarkEnd w:id="1681"/>
      <w:bookmarkEnd w:id="1682"/>
      <w:bookmarkEnd w:id="1683"/>
      <w:bookmarkEnd w:id="1684"/>
    </w:p>
    <w:p>
      <w:pPr>
        <w:keepNext w:val="0"/>
        <w:keepLines w:val="0"/>
        <w:pageBreakBefore w:val="0"/>
        <w:widowControl w:val="0"/>
        <w:kinsoku/>
        <w:wordWrap/>
        <w:overflowPunct/>
        <w:topLinePunct w:val="0"/>
        <w:autoSpaceDN w:val="0"/>
        <w:bidi w:val="0"/>
        <w:spacing w:beforeAutospacing="0" w:afterAutospacing="0" w:line="560" w:lineRule="exact"/>
        <w:ind w:left="0" w:leftChars="0" w:firstLine="643"/>
        <w:rPr>
          <w:color w:val="auto"/>
          <w:highlight w:val="none"/>
        </w:rPr>
      </w:pPr>
      <w:r>
        <w:rPr>
          <w:rFonts w:hint="eastAsia"/>
          <w:bCs w:val="0"/>
          <w:color w:val="auto"/>
          <w:highlight w:val="none"/>
          <w:u w:val="none"/>
        </w:rPr>
        <w:t>（一）</w:t>
      </w:r>
      <w:r>
        <w:rPr>
          <w:rFonts w:hint="eastAsia" w:ascii="仿宋_GB2312" w:hAnsi="仿宋_GB2312" w:eastAsia="仿宋_GB2312" w:cs="仿宋_GB2312"/>
          <w:bCs w:val="0"/>
          <w:color w:val="auto"/>
          <w:kern w:val="2"/>
          <w:szCs w:val="32"/>
          <w:highlight w:val="none"/>
          <w:u w:val="none"/>
        </w:rPr>
        <w:t>对企事业单位原创的文化产品</w:t>
      </w:r>
      <w:r>
        <w:rPr>
          <w:rFonts w:hint="eastAsia" w:ascii="仿宋_GB2312" w:hAnsi="仿宋_GB2312" w:cs="仿宋_GB2312"/>
          <w:color w:val="auto"/>
          <w:szCs w:val="32"/>
          <w:highlight w:val="none"/>
        </w:rPr>
        <w:t>对外</w:t>
      </w:r>
      <w:r>
        <w:rPr>
          <w:rFonts w:hint="eastAsia" w:ascii="仿宋_GB2312" w:hAnsi="仿宋_GB2312" w:eastAsia="仿宋_GB2312" w:cs="仿宋_GB2312"/>
          <w:bCs w:val="0"/>
          <w:color w:val="auto"/>
          <w:kern w:val="2"/>
          <w:szCs w:val="32"/>
          <w:highlight w:val="none"/>
          <w:u w:val="none"/>
        </w:rPr>
        <w:t>出版发行或播出、演出的，按最高不超过其首年度内实际收入的</w:t>
      </w:r>
      <w:r>
        <w:rPr>
          <w:rFonts w:ascii="仿宋_GB2312" w:hAnsi="仿宋_GB2312" w:eastAsia="仿宋_GB2312" w:cs="仿宋_GB2312"/>
          <w:bCs w:val="0"/>
          <w:color w:val="auto"/>
          <w:kern w:val="2"/>
          <w:szCs w:val="32"/>
          <w:highlight w:val="none"/>
          <w:u w:val="none"/>
        </w:rPr>
        <w:t>15%</w:t>
      </w:r>
      <w:r>
        <w:rPr>
          <w:rFonts w:hint="eastAsia" w:ascii="仿宋_GB2312" w:hAnsi="仿宋_GB2312" w:eastAsia="仿宋_GB2312" w:cs="仿宋_GB2312"/>
          <w:bCs w:val="0"/>
          <w:color w:val="auto"/>
          <w:kern w:val="2"/>
          <w:szCs w:val="32"/>
          <w:highlight w:val="none"/>
          <w:u w:val="none"/>
        </w:rPr>
        <w:t>给予原创作品开发单位奖励，每家单位每年奖励总额最高不超过</w:t>
      </w:r>
      <w:r>
        <w:rPr>
          <w:rFonts w:ascii="仿宋_GB2312" w:hAnsi="仿宋_GB2312" w:eastAsia="仿宋_GB2312" w:cs="仿宋_GB2312"/>
          <w:bCs w:val="0"/>
          <w:color w:val="auto"/>
          <w:kern w:val="2"/>
          <w:szCs w:val="32"/>
          <w:highlight w:val="none"/>
          <w:u w:val="none"/>
        </w:rPr>
        <w:t>100万元。</w:t>
      </w:r>
      <w:bookmarkStart w:id="1685" w:name="_Toc69913869"/>
    </w:p>
    <w:p>
      <w:pPr>
        <w:keepNext w:val="0"/>
        <w:keepLines w:val="0"/>
        <w:pageBreakBefore w:val="0"/>
        <w:widowControl w:val="0"/>
        <w:kinsoku/>
        <w:wordWrap/>
        <w:overflowPunct/>
        <w:topLinePunct w:val="0"/>
        <w:autoSpaceDN w:val="0"/>
        <w:bidi w:val="0"/>
        <w:spacing w:beforeAutospacing="0" w:afterAutospacing="0" w:line="560" w:lineRule="exact"/>
        <w:ind w:left="0" w:leftChars="0" w:firstLine="640" w:firstLineChars="200"/>
        <w:rPr>
          <w:rFonts w:ascii="仿宋_GB2312" w:hAnsi="仿宋_GB2312" w:cs="仿宋_GB2312"/>
          <w:color w:val="auto"/>
          <w:szCs w:val="32"/>
          <w:highlight w:val="none"/>
        </w:rPr>
      </w:pPr>
      <w:r>
        <w:rPr>
          <w:rFonts w:hint="eastAsia"/>
          <w:color w:val="auto"/>
          <w:highlight w:val="none"/>
          <w:u w:val="none"/>
        </w:rPr>
        <w:t>（二）</w:t>
      </w:r>
      <w:bookmarkEnd w:id="1685"/>
      <w:r>
        <w:rPr>
          <w:rFonts w:hint="eastAsia" w:ascii="仿宋_GB2312" w:hAnsi="仿宋_GB2312" w:cs="仿宋_GB2312"/>
          <w:color w:val="auto"/>
          <w:szCs w:val="32"/>
          <w:highlight w:val="none"/>
          <w:u w:val="none"/>
        </w:rPr>
        <w:t>对获得版权或著作权登记的企事业单位，每项一次性给予最高不超过</w:t>
      </w:r>
      <w:r>
        <w:rPr>
          <w:rFonts w:ascii="仿宋_GB2312" w:hAnsi="仿宋_GB2312" w:cs="仿宋_GB2312"/>
          <w:color w:val="auto"/>
          <w:szCs w:val="32"/>
          <w:highlight w:val="none"/>
          <w:u w:val="none"/>
        </w:rPr>
        <w:t>2500元</w:t>
      </w:r>
      <w:r>
        <w:rPr>
          <w:rFonts w:hint="eastAsia" w:ascii="仿宋_GB2312" w:hAnsi="仿宋_GB2312" w:cs="仿宋_GB2312"/>
          <w:color w:val="auto"/>
          <w:szCs w:val="32"/>
          <w:highlight w:val="none"/>
        </w:rPr>
        <w:t>的</w:t>
      </w:r>
      <w:r>
        <w:rPr>
          <w:rFonts w:hint="eastAsia" w:ascii="仿宋_GB2312" w:hAnsi="仿宋_GB2312" w:cs="仿宋_GB2312"/>
          <w:color w:val="auto"/>
          <w:szCs w:val="32"/>
          <w:highlight w:val="none"/>
          <w:u w:val="none"/>
        </w:rPr>
        <w:t>奖励。每家单位每年奖励总额最高不超过</w:t>
      </w:r>
      <w:r>
        <w:rPr>
          <w:rFonts w:ascii="仿宋_GB2312" w:hAnsi="仿宋_GB2312" w:cs="仿宋_GB2312"/>
          <w:color w:val="auto"/>
          <w:szCs w:val="32"/>
          <w:highlight w:val="none"/>
          <w:u w:val="none"/>
        </w:rPr>
        <w:t>10万元。</w:t>
      </w:r>
    </w:p>
    <w:p>
      <w:pPr>
        <w:keepNext w:val="0"/>
        <w:keepLines w:val="0"/>
        <w:pageBreakBefore w:val="0"/>
        <w:widowControl w:val="0"/>
        <w:kinsoku/>
        <w:wordWrap/>
        <w:overflowPunct/>
        <w:topLinePunct w:val="0"/>
        <w:bidi w:val="0"/>
        <w:spacing w:beforeAutospacing="0" w:afterAutospacing="0" w:line="560" w:lineRule="exact"/>
        <w:ind w:left="0" w:leftChars="0" w:firstLine="643"/>
        <w:rPr>
          <w:rFonts w:eastAsia="楷体_GB2312" w:asciiTheme="majorHAnsi" w:hAnsiTheme="majorHAnsi" w:cstheme="majorBidi"/>
          <w:b/>
          <w:bCs/>
          <w:kern w:val="2"/>
          <w:sz w:val="32"/>
          <w:szCs w:val="32"/>
          <w:u w:val="none"/>
          <w:lang w:val="en-US" w:eastAsia="zh-CN" w:bidi="ar-SA"/>
        </w:rPr>
      </w:pPr>
      <w:bookmarkStart w:id="1686" w:name="_Toc30224"/>
      <w:bookmarkStart w:id="1687" w:name="_Toc9007"/>
      <w:bookmarkStart w:id="1688" w:name="_Toc12516"/>
      <w:bookmarkStart w:id="1689" w:name="_Toc2575"/>
      <w:bookmarkStart w:id="1690" w:name="_Toc16029"/>
      <w:bookmarkStart w:id="1691" w:name="_Toc24371"/>
      <w:bookmarkStart w:id="1692" w:name="_Toc69913870"/>
      <w:bookmarkStart w:id="1693" w:name="_Toc16386"/>
      <w:bookmarkStart w:id="1694" w:name="_Toc15600"/>
      <w:bookmarkStart w:id="1695" w:name="_Toc15697"/>
      <w:bookmarkStart w:id="1696" w:name="_Toc31084"/>
      <w:r>
        <w:rPr>
          <w:rFonts w:hint="default" w:eastAsia="楷体_GB2312" w:asciiTheme="majorHAnsi" w:hAnsiTheme="majorHAnsi" w:cstheme="majorBidi"/>
          <w:b/>
          <w:bCs/>
          <w:kern w:val="2"/>
          <w:sz w:val="32"/>
          <w:szCs w:val="32"/>
          <w:u w:val="none"/>
          <w:lang w:val="en-US" w:eastAsia="zh-CN" w:bidi="ar-SA"/>
        </w:rPr>
        <w:t>第八条</w:t>
      </w:r>
      <w:r>
        <w:rPr>
          <w:rFonts w:eastAsia="楷体_GB2312" w:asciiTheme="majorHAnsi" w:hAnsiTheme="majorHAnsi" w:cstheme="majorBidi"/>
          <w:b/>
          <w:bCs/>
          <w:kern w:val="2"/>
          <w:sz w:val="32"/>
          <w:szCs w:val="32"/>
          <w:u w:val="none"/>
          <w:lang w:val="en-US" w:eastAsia="zh-CN" w:bidi="ar-SA"/>
        </w:rPr>
        <w:t xml:space="preserve"> </w:t>
      </w:r>
      <w:r>
        <w:rPr>
          <w:rFonts w:hint="default" w:eastAsia="楷体_GB2312" w:asciiTheme="majorHAnsi" w:hAnsiTheme="majorHAnsi" w:cstheme="majorBidi"/>
          <w:b/>
          <w:bCs/>
          <w:kern w:val="2"/>
          <w:sz w:val="32"/>
          <w:szCs w:val="32"/>
          <w:u w:val="none"/>
          <w:lang w:val="en-US" w:eastAsia="zh-CN" w:bidi="ar-SA"/>
        </w:rPr>
        <w:t xml:space="preserve"> 鼓励</w:t>
      </w:r>
      <w:r>
        <w:rPr>
          <w:rFonts w:eastAsia="楷体_GB2312" w:asciiTheme="majorHAnsi" w:hAnsiTheme="majorHAnsi" w:cstheme="majorBidi"/>
          <w:b/>
          <w:bCs/>
          <w:kern w:val="2"/>
          <w:sz w:val="32"/>
          <w:szCs w:val="32"/>
          <w:u w:val="none"/>
          <w:lang w:val="en-US" w:eastAsia="zh-CN" w:bidi="ar-SA"/>
        </w:rPr>
        <w:t>IP</w:t>
      </w:r>
      <w:r>
        <w:rPr>
          <w:rFonts w:hint="default" w:eastAsia="楷体_GB2312" w:asciiTheme="majorHAnsi" w:hAnsiTheme="majorHAnsi" w:cstheme="majorBidi"/>
          <w:b/>
          <w:bCs/>
          <w:kern w:val="2"/>
          <w:sz w:val="32"/>
          <w:szCs w:val="32"/>
          <w:u w:val="none"/>
          <w:lang w:val="en-US" w:eastAsia="zh-CN" w:bidi="ar-SA"/>
        </w:rPr>
        <w:t>引进及运营</w:t>
      </w:r>
      <w:bookmarkEnd w:id="1686"/>
      <w:bookmarkEnd w:id="1687"/>
      <w:bookmarkEnd w:id="1688"/>
      <w:bookmarkEnd w:id="1689"/>
      <w:bookmarkEnd w:id="1690"/>
      <w:bookmarkEnd w:id="1691"/>
      <w:bookmarkEnd w:id="1692"/>
      <w:bookmarkEnd w:id="1693"/>
      <w:bookmarkEnd w:id="1694"/>
      <w:bookmarkEnd w:id="1695"/>
      <w:bookmarkEnd w:id="1696"/>
    </w:p>
    <w:p>
      <w:pPr>
        <w:keepNext w:val="0"/>
        <w:keepLines w:val="0"/>
        <w:pageBreakBefore w:val="0"/>
        <w:widowControl w:val="0"/>
        <w:kinsoku/>
        <w:wordWrap/>
        <w:overflowPunct/>
        <w:topLinePunct w:val="0"/>
        <w:autoSpaceDN w:val="0"/>
        <w:bidi w:val="0"/>
        <w:spacing w:beforeAutospacing="0" w:afterAutospacing="0" w:line="560" w:lineRule="exact"/>
        <w:ind w:left="0" w:leftChars="0" w:firstLine="640" w:firstLineChars="200"/>
        <w:rPr>
          <w:rFonts w:ascii="仿宋_GB2312" w:hAnsi="仿宋_GB2312" w:cs="仿宋_GB2312"/>
          <w:color w:val="auto"/>
          <w:szCs w:val="32"/>
          <w:highlight w:val="none"/>
        </w:rPr>
      </w:pPr>
      <w:r>
        <w:rPr>
          <w:rFonts w:hint="eastAsia" w:ascii="仿宋_GB2312" w:hAnsi="仿宋_GB2312" w:eastAsia="仿宋_GB2312" w:cs="仿宋_GB2312"/>
          <w:bCs w:val="0"/>
          <w:color w:val="auto"/>
          <w:kern w:val="2"/>
          <w:szCs w:val="32"/>
          <w:highlight w:val="none"/>
          <w:u w:val="none"/>
        </w:rPr>
        <w:t>鼓励企事业单位引进国内外知名、优质</w:t>
      </w:r>
      <w:r>
        <w:rPr>
          <w:rFonts w:ascii="仿宋_GB2312" w:hAnsi="仿宋_GB2312" w:eastAsia="仿宋_GB2312" w:cs="仿宋_GB2312"/>
          <w:bCs w:val="0"/>
          <w:color w:val="auto"/>
          <w:kern w:val="2"/>
          <w:szCs w:val="32"/>
          <w:highlight w:val="none"/>
          <w:u w:val="none"/>
        </w:rPr>
        <w:t>IP资源，</w:t>
      </w:r>
      <w:r>
        <w:rPr>
          <w:rFonts w:hint="eastAsia" w:ascii="仿宋_GB2312" w:hAnsi="仿宋_GB2312" w:eastAsia="仿宋_GB2312" w:cs="仿宋_GB2312"/>
          <w:bCs w:val="0"/>
          <w:color w:val="auto"/>
          <w:kern w:val="2"/>
          <w:szCs w:val="32"/>
          <w:highlight w:val="none"/>
          <w:u w:val="none"/>
        </w:rPr>
        <w:t>对引进符合条件</w:t>
      </w:r>
      <w:r>
        <w:rPr>
          <w:rFonts w:hint="eastAsia" w:ascii="仿宋_GB2312" w:hAnsi="仿宋_GB2312" w:cs="仿宋_GB2312"/>
          <w:color w:val="auto"/>
          <w:szCs w:val="32"/>
          <w:highlight w:val="none"/>
        </w:rPr>
        <w:t>的</w:t>
      </w:r>
      <w:r>
        <w:rPr>
          <w:rFonts w:ascii="仿宋_GB2312" w:hAnsi="仿宋_GB2312" w:eastAsia="仿宋_GB2312" w:cs="仿宋_GB2312"/>
          <w:bCs w:val="0"/>
          <w:color w:val="auto"/>
          <w:kern w:val="2"/>
          <w:szCs w:val="32"/>
          <w:highlight w:val="none"/>
          <w:u w:val="none"/>
        </w:rPr>
        <w:t>IP</w:t>
      </w:r>
      <w:r>
        <w:rPr>
          <w:rFonts w:hint="eastAsia" w:ascii="仿宋_GB2312" w:hAnsi="仿宋_GB2312" w:cs="仿宋_GB2312"/>
          <w:color w:val="auto"/>
          <w:szCs w:val="32"/>
          <w:highlight w:val="none"/>
        </w:rPr>
        <w:t>资源</w:t>
      </w:r>
      <w:r>
        <w:rPr>
          <w:rFonts w:hint="eastAsia" w:ascii="仿宋_GB2312" w:hAnsi="仿宋_GB2312" w:eastAsia="仿宋_GB2312" w:cs="仿宋_GB2312"/>
          <w:bCs w:val="0"/>
          <w:color w:val="auto"/>
          <w:kern w:val="2"/>
          <w:szCs w:val="32"/>
          <w:highlight w:val="none"/>
          <w:u w:val="none"/>
        </w:rPr>
        <w:t>，按首年度内实际收入的</w:t>
      </w:r>
      <w:r>
        <w:rPr>
          <w:rFonts w:ascii="仿宋_GB2312" w:hAnsi="仿宋_GB2312" w:eastAsia="仿宋_GB2312" w:cs="仿宋_GB2312"/>
          <w:bCs w:val="0"/>
          <w:color w:val="auto"/>
          <w:kern w:val="2"/>
          <w:szCs w:val="32"/>
          <w:highlight w:val="none"/>
          <w:u w:val="none"/>
        </w:rPr>
        <w:t>15%</w:t>
      </w:r>
      <w:r>
        <w:rPr>
          <w:rFonts w:hint="eastAsia" w:ascii="仿宋_GB2312" w:hAnsi="仿宋_GB2312" w:eastAsia="仿宋_GB2312" w:cs="仿宋_GB2312"/>
          <w:bCs w:val="0"/>
          <w:color w:val="auto"/>
          <w:kern w:val="2"/>
          <w:szCs w:val="32"/>
          <w:highlight w:val="none"/>
          <w:u w:val="none"/>
        </w:rPr>
        <w:t>给予奖励，每家单位每年奖励总额最高不超过</w:t>
      </w:r>
      <w:r>
        <w:rPr>
          <w:rFonts w:ascii="仿宋_GB2312" w:hAnsi="仿宋_GB2312" w:eastAsia="仿宋_GB2312" w:cs="仿宋_GB2312"/>
          <w:bCs w:val="0"/>
          <w:color w:val="auto"/>
          <w:kern w:val="2"/>
          <w:szCs w:val="32"/>
          <w:highlight w:val="none"/>
          <w:u w:val="none"/>
        </w:rPr>
        <w:t>100万元。</w:t>
      </w:r>
    </w:p>
    <w:p>
      <w:pPr>
        <w:keepNext w:val="0"/>
        <w:keepLines w:val="0"/>
        <w:pageBreakBefore w:val="0"/>
        <w:widowControl w:val="0"/>
        <w:kinsoku/>
        <w:wordWrap/>
        <w:overflowPunct/>
        <w:topLinePunct w:val="0"/>
        <w:bidi w:val="0"/>
        <w:spacing w:beforeAutospacing="0" w:afterAutospacing="0" w:line="560" w:lineRule="exact"/>
        <w:ind w:left="0" w:leftChars="0" w:firstLine="643"/>
        <w:rPr>
          <w:rFonts w:eastAsia="楷体_GB2312" w:asciiTheme="majorHAnsi" w:hAnsiTheme="majorHAnsi" w:cstheme="majorBidi"/>
          <w:b/>
          <w:bCs/>
          <w:kern w:val="2"/>
          <w:sz w:val="32"/>
          <w:szCs w:val="32"/>
          <w:u w:val="none"/>
          <w:lang w:val="en-US" w:eastAsia="zh-CN" w:bidi="ar-SA"/>
        </w:rPr>
      </w:pPr>
      <w:bookmarkStart w:id="1697" w:name="_Toc17997"/>
      <w:bookmarkStart w:id="1698" w:name="_Toc7053"/>
      <w:bookmarkStart w:id="1699" w:name="_Toc21065"/>
      <w:bookmarkStart w:id="1700" w:name="_Toc69913871"/>
      <w:bookmarkStart w:id="1701" w:name="_Toc3291"/>
      <w:bookmarkStart w:id="1702" w:name="_Toc14234"/>
      <w:bookmarkStart w:id="1703" w:name="_Toc10494"/>
      <w:bookmarkStart w:id="1704" w:name="_Toc24188"/>
      <w:bookmarkStart w:id="1705" w:name="_Toc23626"/>
      <w:bookmarkStart w:id="1706" w:name="_Toc26587"/>
      <w:bookmarkStart w:id="1707" w:name="_Toc8265"/>
      <w:r>
        <w:rPr>
          <w:rFonts w:hint="default" w:eastAsia="楷体_GB2312" w:asciiTheme="majorHAnsi" w:hAnsiTheme="majorHAnsi" w:cstheme="majorBidi"/>
          <w:b/>
          <w:bCs/>
          <w:kern w:val="2"/>
          <w:sz w:val="32"/>
          <w:szCs w:val="32"/>
          <w:u w:val="none"/>
          <w:lang w:val="en-US" w:eastAsia="zh-CN" w:bidi="ar-SA"/>
        </w:rPr>
        <w:t>第九条</w:t>
      </w:r>
      <w:r>
        <w:rPr>
          <w:rFonts w:eastAsia="楷体_GB2312" w:asciiTheme="majorHAnsi" w:hAnsiTheme="majorHAnsi" w:cstheme="majorBidi"/>
          <w:b/>
          <w:bCs/>
          <w:kern w:val="2"/>
          <w:sz w:val="32"/>
          <w:szCs w:val="32"/>
          <w:u w:val="none"/>
          <w:lang w:val="en-US" w:eastAsia="zh-CN" w:bidi="ar-SA"/>
        </w:rPr>
        <w:t xml:space="preserve"> </w:t>
      </w:r>
      <w:r>
        <w:rPr>
          <w:rFonts w:hint="default" w:eastAsia="楷体_GB2312" w:asciiTheme="majorHAnsi" w:hAnsiTheme="majorHAnsi" w:cstheme="majorBidi"/>
          <w:b/>
          <w:bCs/>
          <w:kern w:val="2"/>
          <w:sz w:val="32"/>
          <w:szCs w:val="32"/>
          <w:u w:val="none"/>
          <w:lang w:val="en-US" w:eastAsia="zh-CN" w:bidi="ar-SA"/>
        </w:rPr>
        <w:t xml:space="preserve"> 支持影视后期制作</w:t>
      </w:r>
      <w:bookmarkEnd w:id="1697"/>
      <w:bookmarkEnd w:id="1698"/>
      <w:bookmarkEnd w:id="1699"/>
      <w:bookmarkEnd w:id="1700"/>
      <w:bookmarkEnd w:id="1701"/>
      <w:bookmarkEnd w:id="1702"/>
      <w:bookmarkEnd w:id="1703"/>
      <w:bookmarkEnd w:id="1704"/>
      <w:bookmarkEnd w:id="1705"/>
      <w:bookmarkEnd w:id="1706"/>
      <w:bookmarkEnd w:id="1707"/>
    </w:p>
    <w:p>
      <w:pPr>
        <w:keepNext w:val="0"/>
        <w:keepLines w:val="0"/>
        <w:pageBreakBefore w:val="0"/>
        <w:widowControl w:val="0"/>
        <w:kinsoku/>
        <w:wordWrap/>
        <w:overflowPunct/>
        <w:topLinePunct w:val="0"/>
        <w:bidi w:val="0"/>
        <w:adjustRightInd w:val="0"/>
        <w:snapToGrid w:val="0"/>
        <w:spacing w:beforeAutospacing="0" w:afterAutospacing="0" w:line="560" w:lineRule="exact"/>
        <w:ind w:left="0" w:leftChars="0" w:firstLine="640" w:firstLineChars="200"/>
        <w:rPr>
          <w:rFonts w:hAnsi="仿宋" w:eastAsia="仿宋"/>
          <w:color w:val="auto"/>
          <w:kern w:val="0"/>
          <w:szCs w:val="32"/>
          <w:highlight w:val="none"/>
        </w:rPr>
      </w:pPr>
      <w:r>
        <w:rPr>
          <w:rFonts w:hint="eastAsia" w:hAnsi="仿宋" w:eastAsia="仿宋"/>
          <w:color w:val="auto"/>
          <w:kern w:val="0"/>
          <w:szCs w:val="32"/>
          <w:highlight w:val="none"/>
        </w:rPr>
        <w:t>影视企业开展影视作品后期制作，最高可按照影视作品后期制作实际发生费用的</w:t>
      </w:r>
      <w:r>
        <w:rPr>
          <w:rFonts w:ascii="仿宋_GB2312" w:hAnsi="仿宋_GB2312" w:eastAsia="仿宋_GB2312" w:cs="仿宋_GB2312"/>
          <w:color w:val="auto"/>
          <w:kern w:val="2"/>
          <w:sz w:val="32"/>
          <w:szCs w:val="24"/>
          <w:highlight w:val="none"/>
          <w:u w:val="none"/>
          <w:lang w:val="en-US" w:eastAsia="zh-CN" w:bidi="ar-SA"/>
        </w:rPr>
        <w:t>30%</w:t>
      </w:r>
      <w:r>
        <w:rPr>
          <w:rFonts w:hAnsi="仿宋" w:eastAsia="仿宋"/>
          <w:color w:val="auto"/>
          <w:kern w:val="0"/>
          <w:szCs w:val="32"/>
          <w:highlight w:val="none"/>
        </w:rPr>
        <w:t>给予支持，每家单位每年最高不超过</w:t>
      </w:r>
      <w:r>
        <w:rPr>
          <w:rFonts w:ascii="仿宋_GB2312" w:hAnsi="仿宋_GB2312" w:eastAsia="仿宋_GB2312" w:cs="仿宋_GB2312"/>
          <w:color w:val="auto"/>
          <w:kern w:val="2"/>
          <w:sz w:val="32"/>
          <w:szCs w:val="24"/>
          <w:highlight w:val="none"/>
          <w:u w:val="none"/>
          <w:lang w:val="en-US" w:eastAsia="zh-CN" w:bidi="ar-SA"/>
        </w:rPr>
        <w:t>100</w:t>
      </w:r>
      <w:r>
        <w:rPr>
          <w:rFonts w:hAnsi="仿宋" w:eastAsia="仿宋"/>
          <w:color w:val="auto"/>
          <w:kern w:val="0"/>
          <w:szCs w:val="32"/>
          <w:highlight w:val="none"/>
        </w:rPr>
        <w:t>万元</w:t>
      </w:r>
      <w:r>
        <w:rPr>
          <w:rFonts w:hint="eastAsia" w:hAnsi="仿宋" w:eastAsia="仿宋"/>
          <w:color w:val="auto"/>
          <w:kern w:val="0"/>
          <w:szCs w:val="32"/>
          <w:highlight w:val="none"/>
        </w:rPr>
        <w:t>。</w:t>
      </w:r>
    </w:p>
    <w:p>
      <w:pPr>
        <w:keepNext w:val="0"/>
        <w:keepLines w:val="0"/>
        <w:pageBreakBefore w:val="0"/>
        <w:widowControl w:val="0"/>
        <w:numPr>
          <w:ilvl w:val="-1"/>
          <w:numId w:val="0"/>
        </w:numPr>
        <w:kinsoku/>
        <w:wordWrap/>
        <w:overflowPunct/>
        <w:topLinePunct w:val="0"/>
        <w:bidi w:val="0"/>
        <w:spacing w:beforeAutospacing="0" w:afterAutospacing="0" w:line="560" w:lineRule="exact"/>
        <w:ind w:left="0" w:leftChars="0" w:firstLine="643" w:firstLineChars="200"/>
        <w:rPr>
          <w:rFonts w:hint="default" w:eastAsia="楷体_GB2312" w:asciiTheme="majorHAnsi" w:hAnsiTheme="majorHAnsi" w:cstheme="majorBidi"/>
          <w:b/>
          <w:bCs/>
          <w:kern w:val="2"/>
          <w:sz w:val="32"/>
          <w:szCs w:val="32"/>
          <w:u w:val="none"/>
          <w:lang w:val="en-US" w:eastAsia="zh-CN" w:bidi="ar-SA"/>
        </w:rPr>
      </w:pPr>
      <w:bookmarkStart w:id="1708" w:name="_Toc69913872"/>
      <w:bookmarkStart w:id="1709" w:name="_Toc2456"/>
      <w:bookmarkStart w:id="1710" w:name="_Toc9265"/>
      <w:bookmarkStart w:id="1711" w:name="_Toc30245"/>
      <w:bookmarkStart w:id="1712" w:name="_Toc1719"/>
      <w:bookmarkStart w:id="1713" w:name="_Toc17828"/>
      <w:bookmarkStart w:id="1714" w:name="_Toc21153"/>
      <w:bookmarkStart w:id="1715" w:name="_Toc12278"/>
      <w:bookmarkStart w:id="1716" w:name="_Toc10700"/>
      <w:bookmarkStart w:id="1717" w:name="_Toc32601"/>
      <w:bookmarkStart w:id="1718" w:name="_Toc5634"/>
      <w:r>
        <w:rPr>
          <w:rFonts w:hint="eastAsia" w:eastAsia="楷体_GB2312" w:asciiTheme="majorHAnsi" w:hAnsiTheme="majorHAnsi" w:cstheme="majorBidi"/>
          <w:b/>
          <w:bCs/>
          <w:kern w:val="2"/>
          <w:sz w:val="32"/>
          <w:szCs w:val="32"/>
          <w:u w:val="none"/>
          <w:lang w:val="en-US" w:eastAsia="zh-CN" w:bidi="ar-SA"/>
        </w:rPr>
        <w:t xml:space="preserve">第十条  </w:t>
      </w:r>
      <w:r>
        <w:rPr>
          <w:rFonts w:hint="default" w:eastAsia="楷体_GB2312" w:asciiTheme="majorHAnsi" w:hAnsiTheme="majorHAnsi" w:cstheme="majorBidi"/>
          <w:b/>
          <w:bCs/>
          <w:kern w:val="2"/>
          <w:sz w:val="32"/>
          <w:szCs w:val="32"/>
          <w:u w:val="none"/>
          <w:lang w:val="en-US" w:eastAsia="zh-CN" w:bidi="ar-SA"/>
        </w:rPr>
        <w:t xml:space="preserve"> 鼓励创优评级</w:t>
      </w:r>
      <w:bookmarkEnd w:id="1708"/>
      <w:bookmarkEnd w:id="1709"/>
      <w:bookmarkEnd w:id="1710"/>
      <w:bookmarkEnd w:id="1711"/>
      <w:bookmarkEnd w:id="1712"/>
      <w:bookmarkEnd w:id="1713"/>
      <w:bookmarkEnd w:id="1714"/>
      <w:bookmarkEnd w:id="1715"/>
      <w:bookmarkEnd w:id="1716"/>
      <w:bookmarkEnd w:id="1717"/>
      <w:bookmarkEnd w:id="1718"/>
    </w:p>
    <w:p>
      <w:pPr>
        <w:keepNext w:val="0"/>
        <w:keepLines w:val="0"/>
        <w:pageBreakBefore w:val="0"/>
        <w:widowControl w:val="0"/>
        <w:kinsoku/>
        <w:wordWrap/>
        <w:overflowPunct/>
        <w:topLinePunct w:val="0"/>
        <w:bidi w:val="0"/>
        <w:spacing w:beforeAutospacing="0" w:afterAutospacing="0" w:line="560" w:lineRule="exact"/>
        <w:ind w:left="0" w:leftChars="0" w:firstLine="643"/>
        <w:rPr>
          <w:rFonts w:ascii="仿宋_GB2312" w:hAnsi="仿宋_GB2312" w:cs="仿宋_GB2312"/>
          <w:color w:val="auto"/>
          <w:szCs w:val="32"/>
          <w:highlight w:val="none"/>
        </w:rPr>
      </w:pPr>
      <w:r>
        <w:rPr>
          <w:rFonts w:hint="eastAsia" w:ascii="仿宋_GB2312" w:hAnsi="仿宋_GB2312" w:eastAsia="仿宋_GB2312" w:cs="仿宋_GB2312"/>
          <w:b w:val="0"/>
          <w:bCs w:val="0"/>
          <w:color w:val="auto"/>
          <w:kern w:val="2"/>
          <w:sz w:val="32"/>
          <w:szCs w:val="32"/>
          <w:highlight w:val="none"/>
          <w:u w:val="none"/>
          <w:lang w:val="en-US" w:eastAsia="zh-CN" w:bidi="ar-SA"/>
        </w:rPr>
        <w:t>对获得国家级文化类主要奖项、国家级、省级、市级新型融合业态奖项认定的单位，给予最高不超过100万元一次性奖励。</w:t>
      </w:r>
    </w:p>
    <w:p>
      <w:pPr>
        <w:pStyle w:val="3"/>
        <w:keepNext w:val="0"/>
        <w:keepLines w:val="0"/>
        <w:pageBreakBefore w:val="0"/>
        <w:widowControl w:val="0"/>
        <w:kinsoku/>
        <w:wordWrap/>
        <w:overflowPunct/>
        <w:topLinePunct w:val="0"/>
        <w:bidi w:val="0"/>
        <w:spacing w:before="0" w:beforeLines="0" w:beforeAutospacing="0" w:after="0" w:afterLines="0" w:afterAutospacing="0" w:line="560" w:lineRule="exact"/>
        <w:ind w:left="0" w:leftChars="0" w:firstLine="640"/>
        <w:rPr>
          <w:b/>
          <w:bCs/>
          <w:u w:val="none"/>
        </w:rPr>
      </w:pPr>
      <w:bookmarkStart w:id="1719" w:name="_Toc12662"/>
      <w:bookmarkStart w:id="1720" w:name="_Toc26983"/>
      <w:bookmarkStart w:id="1721" w:name="_Toc30854"/>
      <w:bookmarkStart w:id="1722" w:name="_Toc28648"/>
      <w:bookmarkStart w:id="1723" w:name="_Toc9960"/>
      <w:bookmarkStart w:id="1724" w:name="_Toc16941"/>
      <w:bookmarkStart w:id="1725" w:name="_Toc69913873"/>
      <w:bookmarkStart w:id="1726" w:name="_Toc31533"/>
      <w:r>
        <w:rPr>
          <w:rFonts w:hint="default" w:eastAsia="楷体_GB2312" w:asciiTheme="majorHAnsi" w:hAnsiTheme="majorHAnsi" w:cstheme="majorBidi"/>
          <w:b/>
          <w:bCs/>
          <w:szCs w:val="32"/>
          <w:u w:val="none"/>
        </w:rPr>
        <w:t>第</w:t>
      </w:r>
      <w:r>
        <w:rPr>
          <w:rFonts w:hint="default"/>
          <w:u w:val="none"/>
        </w:rPr>
        <w:t>十一</w:t>
      </w:r>
      <w:r>
        <w:rPr>
          <w:rFonts w:hint="default" w:eastAsia="楷体_GB2312" w:asciiTheme="majorHAnsi" w:hAnsiTheme="majorHAnsi" w:cstheme="majorBidi"/>
          <w:b/>
          <w:bCs/>
          <w:szCs w:val="32"/>
          <w:u w:val="none"/>
        </w:rPr>
        <w:t>条</w:t>
      </w:r>
      <w:r>
        <w:rPr>
          <w:rFonts w:eastAsia="楷体_GB2312" w:asciiTheme="majorHAnsi" w:hAnsiTheme="majorHAnsi" w:cstheme="majorBidi"/>
          <w:b/>
          <w:bCs/>
          <w:szCs w:val="32"/>
          <w:u w:val="none"/>
        </w:rPr>
        <w:t xml:space="preserve"> </w:t>
      </w:r>
      <w:r>
        <w:rPr>
          <w:rFonts w:hint="default" w:cstheme="majorBidi"/>
          <w:b/>
          <w:bCs/>
          <w:szCs w:val="32"/>
          <w:u w:val="none"/>
          <w:lang w:val="en-US" w:eastAsia="zh-CN"/>
        </w:rPr>
        <w:t xml:space="preserve"> </w:t>
      </w:r>
      <w:r>
        <w:rPr>
          <w:rFonts w:hint="default" w:eastAsia="楷体_GB2312" w:asciiTheme="majorHAnsi" w:hAnsiTheme="majorHAnsi" w:cstheme="majorBidi"/>
          <w:b/>
          <w:bCs/>
          <w:szCs w:val="32"/>
          <w:u w:val="none"/>
        </w:rPr>
        <w:t>支持创意设计发展</w:t>
      </w:r>
      <w:bookmarkEnd w:id="1719"/>
      <w:bookmarkEnd w:id="1720"/>
      <w:bookmarkEnd w:id="1721"/>
      <w:bookmarkEnd w:id="1722"/>
      <w:bookmarkEnd w:id="1723"/>
      <w:bookmarkEnd w:id="1724"/>
      <w:bookmarkEnd w:id="1725"/>
      <w:bookmarkEnd w:id="1726"/>
    </w:p>
    <w:p>
      <w:pPr>
        <w:keepNext w:val="0"/>
        <w:keepLines w:val="0"/>
        <w:pageBreakBefore w:val="0"/>
        <w:widowControl w:val="0"/>
        <w:kinsoku/>
        <w:wordWrap/>
        <w:overflowPunct/>
        <w:topLinePunct w:val="0"/>
        <w:autoSpaceDN w:val="0"/>
        <w:bidi w:val="0"/>
        <w:spacing w:beforeAutospacing="0" w:afterAutospacing="0" w:line="560" w:lineRule="exact"/>
        <w:ind w:left="0" w:leftChars="0" w:firstLine="640" w:firstLineChars="200"/>
        <w:rPr>
          <w:rFonts w:ascii="仿宋_GB2312" w:hAnsi="仿宋_GB2312" w:cs="仿宋_GB2312"/>
          <w:color w:val="auto"/>
          <w:szCs w:val="32"/>
          <w:highlight w:val="none"/>
        </w:rPr>
      </w:pPr>
      <w:r>
        <w:rPr>
          <w:rFonts w:hint="eastAsia" w:ascii="仿宋_GB2312" w:hAnsi="仿宋_GB2312" w:cs="仿宋_GB2312"/>
          <w:b w:val="0"/>
          <w:bCs w:val="0"/>
          <w:color w:val="auto"/>
          <w:szCs w:val="32"/>
          <w:highlight w:val="none"/>
          <w:u w:val="none"/>
        </w:rPr>
        <w:t>（一）优质设计企业支持。</w:t>
      </w:r>
      <w:r>
        <w:rPr>
          <w:rFonts w:hint="eastAsia" w:ascii="仿宋_GB2312" w:hAnsi="仿宋_GB2312" w:cs="仿宋_GB2312"/>
          <w:color w:val="auto"/>
          <w:szCs w:val="32"/>
          <w:highlight w:val="none"/>
          <w:u w:val="none"/>
        </w:rPr>
        <w:t>对首次获评为国家一级资质或国家甲级资质的设计企业，每个资质最高给予</w:t>
      </w:r>
      <w:r>
        <w:rPr>
          <w:rFonts w:ascii="仿宋_GB2312" w:hAnsi="仿宋_GB2312" w:cs="仿宋_GB2312"/>
          <w:color w:val="auto"/>
          <w:szCs w:val="32"/>
          <w:highlight w:val="none"/>
          <w:u w:val="none"/>
        </w:rPr>
        <w:t>20万元支持。对</w:t>
      </w:r>
      <w:r>
        <w:rPr>
          <w:rFonts w:hint="eastAsia" w:ascii="仿宋_GB2312" w:hAnsi="仿宋_GB2312" w:cs="仿宋_GB2312"/>
          <w:color w:val="auto"/>
          <w:szCs w:val="32"/>
          <w:highlight w:val="none"/>
        </w:rPr>
        <w:t>国家级设计类奖项</w:t>
      </w:r>
      <w:r>
        <w:rPr>
          <w:rFonts w:hint="eastAsia" w:ascii="仿宋_GB2312" w:hAnsi="仿宋_GB2312" w:cs="仿宋_GB2312"/>
          <w:color w:val="auto"/>
          <w:szCs w:val="32"/>
          <w:highlight w:val="none"/>
          <w:u w:val="none"/>
        </w:rPr>
        <w:t>获奖者在南山区创立设计企业并实质性运营连续一年的，给予</w:t>
      </w:r>
      <w:r>
        <w:rPr>
          <w:rFonts w:hint="eastAsia" w:ascii="仿宋_GB2312" w:hAnsi="仿宋_GB2312" w:cs="仿宋_GB2312"/>
          <w:color w:val="auto"/>
          <w:szCs w:val="32"/>
          <w:highlight w:val="none"/>
        </w:rPr>
        <w:t>最高不超过</w:t>
      </w:r>
      <w:r>
        <w:rPr>
          <w:rFonts w:ascii="仿宋_GB2312" w:hAnsi="仿宋_GB2312" w:cs="仿宋_GB2312"/>
          <w:color w:val="auto"/>
          <w:szCs w:val="32"/>
          <w:highlight w:val="none"/>
        </w:rPr>
        <w:t>3</w:t>
      </w:r>
      <w:r>
        <w:rPr>
          <w:rFonts w:ascii="仿宋_GB2312" w:hAnsi="仿宋_GB2312" w:cs="仿宋_GB2312"/>
          <w:color w:val="auto"/>
          <w:szCs w:val="32"/>
          <w:highlight w:val="none"/>
          <w:u w:val="none"/>
        </w:rPr>
        <w:t>0万元一次性奖励。</w:t>
      </w:r>
    </w:p>
    <w:p>
      <w:pPr>
        <w:keepNext w:val="0"/>
        <w:keepLines w:val="0"/>
        <w:pageBreakBefore w:val="0"/>
        <w:widowControl w:val="0"/>
        <w:kinsoku/>
        <w:wordWrap/>
        <w:overflowPunct/>
        <w:topLinePunct w:val="0"/>
        <w:autoSpaceDN w:val="0"/>
        <w:bidi w:val="0"/>
        <w:spacing w:beforeAutospacing="0" w:afterAutospacing="0" w:line="560" w:lineRule="exact"/>
        <w:ind w:left="0" w:leftChars="0" w:firstLine="640" w:firstLineChars="200"/>
        <w:rPr>
          <w:rFonts w:ascii="仿宋_GB2312" w:hAnsi="仿宋_GB2312" w:cs="仿宋_GB2312"/>
          <w:color w:val="auto"/>
          <w:szCs w:val="32"/>
          <w:highlight w:val="none"/>
        </w:rPr>
      </w:pPr>
      <w:r>
        <w:rPr>
          <w:rFonts w:hint="eastAsia" w:ascii="仿宋_GB2312" w:hAnsi="仿宋_GB2312" w:cs="仿宋_GB2312"/>
          <w:b w:val="0"/>
          <w:bCs w:val="0"/>
          <w:color w:val="auto"/>
          <w:szCs w:val="32"/>
          <w:highlight w:val="none"/>
          <w:u w:val="none"/>
        </w:rPr>
        <w:t>（二）专业设计软件使用支持。</w:t>
      </w:r>
      <w:r>
        <w:rPr>
          <w:rFonts w:hint="eastAsia" w:ascii="仿宋_GB2312" w:hAnsi="仿宋_GB2312" w:cs="仿宋_GB2312"/>
          <w:color w:val="auto"/>
          <w:szCs w:val="32"/>
          <w:highlight w:val="none"/>
          <w:u w:val="none"/>
        </w:rPr>
        <w:t>对南山区“四上”在库文化企业，单次采购专业设计工具软件（含软件升级费用）合同额达到</w:t>
      </w:r>
      <w:r>
        <w:rPr>
          <w:rFonts w:ascii="仿宋_GB2312" w:hAnsi="仿宋_GB2312" w:cs="仿宋_GB2312"/>
          <w:color w:val="auto"/>
          <w:szCs w:val="32"/>
          <w:highlight w:val="none"/>
          <w:u w:val="none"/>
        </w:rPr>
        <w:t>10万元以上，按照实际发生费用的50%给予</w:t>
      </w:r>
      <w:r>
        <w:rPr>
          <w:rFonts w:hint="eastAsia" w:ascii="仿宋_GB2312" w:hAnsi="仿宋_GB2312" w:cs="仿宋_GB2312"/>
          <w:color w:val="auto"/>
          <w:szCs w:val="32"/>
          <w:highlight w:val="none"/>
        </w:rPr>
        <w:t>支持，每家单位</w:t>
      </w:r>
      <w:r>
        <w:rPr>
          <w:rFonts w:hint="eastAsia" w:ascii="仿宋_GB2312" w:hAnsi="仿宋_GB2312" w:cs="仿宋_GB2312"/>
          <w:color w:val="auto"/>
          <w:szCs w:val="32"/>
          <w:highlight w:val="none"/>
          <w:u w:val="none"/>
        </w:rPr>
        <w:t>每年最高不超过</w:t>
      </w:r>
      <w:r>
        <w:rPr>
          <w:rFonts w:ascii="仿宋_GB2312" w:hAnsi="仿宋_GB2312" w:cs="仿宋_GB2312"/>
          <w:color w:val="auto"/>
          <w:szCs w:val="32"/>
          <w:highlight w:val="none"/>
          <w:u w:val="none"/>
        </w:rPr>
        <w:t>50万元</w:t>
      </w:r>
      <w:r>
        <w:rPr>
          <w:rFonts w:hint="eastAsia" w:ascii="仿宋_GB2312" w:hAnsi="仿宋_GB2312" w:cs="仿宋_GB2312"/>
          <w:color w:val="auto"/>
          <w:szCs w:val="32"/>
          <w:highlight w:val="none"/>
          <w:u w:val="none"/>
        </w:rPr>
        <w:t>。</w:t>
      </w:r>
    </w:p>
    <w:p>
      <w:pPr>
        <w:keepNext w:val="0"/>
        <w:keepLines w:val="0"/>
        <w:pageBreakBefore w:val="0"/>
        <w:widowControl w:val="0"/>
        <w:kinsoku/>
        <w:wordWrap/>
        <w:overflowPunct/>
        <w:topLinePunct w:val="0"/>
        <w:autoSpaceDN w:val="0"/>
        <w:bidi w:val="0"/>
        <w:spacing w:beforeAutospacing="0" w:afterAutospacing="0" w:line="560" w:lineRule="exact"/>
        <w:ind w:left="0" w:leftChars="0" w:firstLine="640" w:firstLineChars="200"/>
        <w:rPr>
          <w:rFonts w:ascii="仿宋_GB2312" w:hAnsi="仿宋_GB2312" w:cs="仿宋_GB2312"/>
          <w:color w:val="auto"/>
          <w:szCs w:val="32"/>
          <w:highlight w:val="none"/>
        </w:rPr>
      </w:pPr>
    </w:p>
    <w:p>
      <w:pPr>
        <w:pStyle w:val="2"/>
        <w:keepNext w:val="0"/>
        <w:keepLines w:val="0"/>
        <w:pageBreakBefore w:val="0"/>
        <w:widowControl w:val="0"/>
        <w:kinsoku/>
        <w:wordWrap/>
        <w:overflowPunct/>
        <w:topLinePunct w:val="0"/>
        <w:autoSpaceDN w:val="0"/>
        <w:bidi w:val="0"/>
        <w:adjustRightInd/>
        <w:snapToGrid/>
        <w:spacing w:before="0" w:beforeLines="0" w:beforeAutospacing="0" w:after="0" w:afterLines="0" w:afterAutospacing="0" w:line="560" w:lineRule="exact"/>
        <w:ind w:left="0" w:leftChars="0" w:firstLine="640" w:firstLineChars="200"/>
        <w:jc w:val="center"/>
        <w:textAlignment w:val="auto"/>
        <w:rPr>
          <w:color w:val="auto"/>
          <w:highlight w:val="none"/>
        </w:rPr>
      </w:pPr>
      <w:bookmarkStart w:id="1727" w:name="_Toc16134"/>
      <w:bookmarkStart w:id="1728" w:name="_Toc15499"/>
      <w:bookmarkStart w:id="1729" w:name="_Toc14759"/>
      <w:bookmarkStart w:id="1730" w:name="_Toc26298"/>
      <w:bookmarkStart w:id="1731" w:name="_Toc30127"/>
      <w:bookmarkStart w:id="1732" w:name="_Toc15309"/>
      <w:bookmarkStart w:id="1733" w:name="_Toc8400"/>
      <w:bookmarkStart w:id="1734" w:name="_Toc31956"/>
      <w:bookmarkStart w:id="1735" w:name="_Toc69913874"/>
      <w:bookmarkStart w:id="1736" w:name="_Toc12386"/>
      <w:bookmarkStart w:id="1737" w:name="_Toc9549"/>
      <w:r>
        <w:rPr>
          <w:rFonts w:hint="eastAsia"/>
          <w:color w:val="auto"/>
          <w:highlight w:val="none"/>
          <w:u w:val="none"/>
        </w:rPr>
        <w:t>第</w:t>
      </w:r>
      <w:r>
        <w:rPr>
          <w:rFonts w:hint="eastAsia"/>
          <w:color w:val="auto"/>
          <w:highlight w:val="none"/>
        </w:rPr>
        <w:t>四</w:t>
      </w:r>
      <w:r>
        <w:rPr>
          <w:rFonts w:hint="eastAsia"/>
          <w:color w:val="auto"/>
          <w:highlight w:val="none"/>
          <w:u w:val="none"/>
        </w:rPr>
        <w:t>章</w:t>
      </w:r>
      <w:r>
        <w:rPr>
          <w:color w:val="auto"/>
          <w:highlight w:val="none"/>
          <w:u w:val="none"/>
        </w:rPr>
        <w:t xml:space="preserve"> </w:t>
      </w:r>
      <w:r>
        <w:rPr>
          <w:rFonts w:hint="eastAsia"/>
          <w:color w:val="auto"/>
          <w:highlight w:val="none"/>
          <w:u w:val="none"/>
          <w:lang w:val="en-US" w:eastAsia="zh-CN"/>
        </w:rPr>
        <w:t xml:space="preserve"> </w:t>
      </w:r>
      <w:r>
        <w:rPr>
          <w:rFonts w:hint="eastAsia"/>
          <w:color w:val="auto"/>
          <w:highlight w:val="none"/>
        </w:rPr>
        <w:t>支持</w:t>
      </w:r>
      <w:r>
        <w:rPr>
          <w:rFonts w:hint="eastAsia"/>
          <w:color w:val="auto"/>
          <w:highlight w:val="none"/>
          <w:u w:val="none"/>
        </w:rPr>
        <w:t>企业</w:t>
      </w:r>
      <w:r>
        <w:rPr>
          <w:rFonts w:hint="eastAsia"/>
          <w:color w:val="auto"/>
          <w:highlight w:val="none"/>
        </w:rPr>
        <w:t>发展</w:t>
      </w:r>
      <w:r>
        <w:rPr>
          <w:rFonts w:hint="eastAsia"/>
          <w:color w:val="auto"/>
          <w:highlight w:val="none"/>
          <w:u w:val="none"/>
        </w:rPr>
        <w:t>空间</w:t>
      </w:r>
      <w:bookmarkEnd w:id="1727"/>
      <w:bookmarkEnd w:id="1728"/>
      <w:bookmarkEnd w:id="1729"/>
      <w:bookmarkEnd w:id="1730"/>
      <w:bookmarkEnd w:id="1731"/>
      <w:bookmarkEnd w:id="1732"/>
      <w:bookmarkEnd w:id="1733"/>
      <w:bookmarkEnd w:id="1734"/>
      <w:bookmarkEnd w:id="1735"/>
      <w:bookmarkEnd w:id="1736"/>
      <w:bookmarkEnd w:id="1737"/>
    </w:p>
    <w:p>
      <w:pPr>
        <w:pStyle w:val="3"/>
        <w:keepNext w:val="0"/>
        <w:keepLines w:val="0"/>
        <w:pageBreakBefore w:val="0"/>
        <w:widowControl w:val="0"/>
        <w:kinsoku/>
        <w:wordWrap/>
        <w:overflowPunct/>
        <w:topLinePunct w:val="0"/>
        <w:autoSpaceDE w:val="0"/>
        <w:autoSpaceDN w:val="0"/>
        <w:bidi w:val="0"/>
        <w:adjustRightInd/>
        <w:snapToGrid/>
        <w:spacing w:before="0" w:beforeLines="0" w:beforeAutospacing="0" w:after="0" w:afterLines="0" w:afterAutospacing="0" w:line="560" w:lineRule="exact"/>
        <w:ind w:left="0" w:leftChars="0" w:firstLine="640"/>
        <w:textAlignment w:val="auto"/>
        <w:rPr>
          <w:rFonts w:hint="eastAsia"/>
          <w:b/>
          <w:bCs w:val="0"/>
          <w:color w:val="auto"/>
          <w:highlight w:val="none"/>
          <w:u w:val="none"/>
        </w:rPr>
      </w:pPr>
      <w:bookmarkStart w:id="1738" w:name="_Toc4830"/>
      <w:bookmarkStart w:id="1739" w:name="_Toc26106"/>
      <w:bookmarkStart w:id="1740" w:name="_Toc20873"/>
      <w:bookmarkStart w:id="1741" w:name="_Toc32005"/>
      <w:bookmarkStart w:id="1742" w:name="_Toc24755"/>
      <w:bookmarkStart w:id="1743" w:name="_Toc5804"/>
      <w:bookmarkStart w:id="1744" w:name="_Toc4965"/>
      <w:bookmarkStart w:id="1745" w:name="_Toc69913875"/>
      <w:bookmarkStart w:id="1746" w:name="_Toc31902"/>
      <w:bookmarkStart w:id="1747" w:name="_Toc27614"/>
      <w:bookmarkStart w:id="1748" w:name="_Toc13495"/>
    </w:p>
    <w:p>
      <w:pPr>
        <w:keepNext w:val="0"/>
        <w:keepLines w:val="0"/>
        <w:pageBreakBefore w:val="0"/>
        <w:widowControl w:val="0"/>
        <w:kinsoku/>
        <w:wordWrap/>
        <w:overflowPunct/>
        <w:topLinePunct w:val="0"/>
        <w:bidi w:val="0"/>
        <w:spacing w:beforeAutospacing="0" w:afterAutospacing="0" w:line="560" w:lineRule="exact"/>
        <w:ind w:left="0" w:leftChars="0" w:firstLine="643" w:firstLineChars="200"/>
        <w:jc w:val="both"/>
        <w:outlineLvl w:val="1"/>
        <w:rPr>
          <w:rFonts w:eastAsia="楷体_GB2312" w:asciiTheme="majorHAnsi" w:hAnsiTheme="majorHAnsi" w:cstheme="majorBidi"/>
          <w:b/>
          <w:bCs/>
          <w:kern w:val="2"/>
          <w:sz w:val="32"/>
          <w:szCs w:val="32"/>
          <w:u w:val="none"/>
          <w:lang w:val="en-US" w:eastAsia="zh-CN" w:bidi="ar-SA"/>
        </w:rPr>
      </w:pPr>
      <w:r>
        <w:rPr>
          <w:rFonts w:hint="default" w:eastAsia="楷体_GB2312" w:asciiTheme="majorHAnsi" w:hAnsiTheme="majorHAnsi" w:cstheme="majorBidi"/>
          <w:b/>
          <w:bCs/>
          <w:kern w:val="2"/>
          <w:sz w:val="32"/>
          <w:szCs w:val="32"/>
          <w:lang w:val="en-US" w:eastAsia="zh-CN" w:bidi="ar-SA"/>
        </w:rPr>
        <w:t>第</w:t>
      </w:r>
      <w:r>
        <w:rPr>
          <w:rFonts w:hint="default" w:eastAsia="楷体_GB2312" w:asciiTheme="majorHAnsi" w:hAnsiTheme="majorHAnsi" w:cstheme="majorBidi"/>
          <w:b/>
          <w:bCs/>
          <w:kern w:val="2"/>
          <w:sz w:val="32"/>
          <w:szCs w:val="32"/>
          <w:u w:val="none"/>
          <w:lang w:val="en-US" w:eastAsia="zh-CN" w:bidi="ar-SA"/>
        </w:rPr>
        <w:t>十二</w:t>
      </w:r>
      <w:r>
        <w:rPr>
          <w:rFonts w:hint="default" w:eastAsia="楷体_GB2312" w:asciiTheme="majorHAnsi" w:hAnsiTheme="majorHAnsi" w:cstheme="majorBidi"/>
          <w:b/>
          <w:bCs/>
          <w:kern w:val="2"/>
          <w:sz w:val="32"/>
          <w:szCs w:val="32"/>
          <w:lang w:val="en-US" w:eastAsia="zh-CN" w:bidi="ar-SA"/>
        </w:rPr>
        <w:t>条</w:t>
      </w:r>
      <w:r>
        <w:rPr>
          <w:rFonts w:eastAsia="楷体_GB2312" w:asciiTheme="majorHAnsi" w:hAnsiTheme="majorHAnsi" w:cstheme="majorBidi"/>
          <w:b/>
          <w:bCs/>
          <w:kern w:val="2"/>
          <w:sz w:val="32"/>
          <w:szCs w:val="32"/>
          <w:lang w:val="en-US" w:eastAsia="zh-CN" w:bidi="ar-SA"/>
        </w:rPr>
        <w:t xml:space="preserve"> </w:t>
      </w:r>
      <w:r>
        <w:rPr>
          <w:rFonts w:hint="default" w:eastAsia="楷体_GB2312" w:asciiTheme="majorHAnsi" w:hAnsiTheme="majorHAnsi" w:cstheme="majorBidi"/>
          <w:b/>
          <w:bCs/>
          <w:kern w:val="2"/>
          <w:sz w:val="32"/>
          <w:szCs w:val="32"/>
          <w:lang w:val="en-US" w:eastAsia="zh-CN" w:bidi="ar-SA"/>
        </w:rPr>
        <w:t xml:space="preserve"> </w:t>
      </w:r>
      <w:r>
        <w:rPr>
          <w:rFonts w:hint="default" w:eastAsia="楷体_GB2312" w:asciiTheme="majorHAnsi" w:hAnsiTheme="majorHAnsi" w:cstheme="majorBidi"/>
          <w:b/>
          <w:bCs/>
          <w:kern w:val="2"/>
          <w:sz w:val="32"/>
          <w:szCs w:val="32"/>
          <w:u w:val="none"/>
          <w:lang w:val="en-US" w:eastAsia="zh-CN" w:bidi="ar-SA"/>
        </w:rPr>
        <w:t>支持</w:t>
      </w:r>
      <w:r>
        <w:rPr>
          <w:rFonts w:hint="default" w:eastAsia="楷体_GB2312" w:asciiTheme="majorHAnsi" w:hAnsiTheme="majorHAnsi" w:cstheme="majorBidi"/>
          <w:b/>
          <w:bCs/>
          <w:kern w:val="2"/>
          <w:sz w:val="32"/>
          <w:szCs w:val="32"/>
          <w:lang w:val="en-US" w:eastAsia="zh-CN" w:bidi="ar-SA"/>
        </w:rPr>
        <w:t>文化、体育企业落地南山</w:t>
      </w:r>
      <w:bookmarkEnd w:id="1738"/>
      <w:bookmarkEnd w:id="1739"/>
      <w:bookmarkEnd w:id="1740"/>
      <w:bookmarkEnd w:id="1741"/>
      <w:bookmarkEnd w:id="1742"/>
      <w:bookmarkEnd w:id="1743"/>
      <w:bookmarkEnd w:id="1744"/>
      <w:bookmarkEnd w:id="1745"/>
      <w:bookmarkEnd w:id="1746"/>
      <w:bookmarkEnd w:id="1747"/>
      <w:bookmarkEnd w:id="1748"/>
    </w:p>
    <w:p>
      <w:pPr>
        <w:keepNext w:val="0"/>
        <w:keepLines w:val="0"/>
        <w:pageBreakBefore w:val="0"/>
        <w:widowControl w:val="0"/>
        <w:kinsoku/>
        <w:wordWrap/>
        <w:overflowPunct/>
        <w:topLinePunct w:val="0"/>
        <w:autoSpaceDE w:val="0"/>
        <w:autoSpaceDN w:val="0"/>
        <w:bidi w:val="0"/>
        <w:spacing w:beforeAutospacing="0" w:afterAutospacing="0" w:line="560" w:lineRule="exact"/>
        <w:ind w:left="0" w:leftChars="0" w:firstLine="640" w:firstLineChars="200"/>
        <w:rPr>
          <w:rFonts w:ascii="仿宋_GB2312" w:hAnsi="仿宋_GB2312" w:cs="仿宋_GB2312"/>
          <w:color w:val="auto"/>
          <w:szCs w:val="32"/>
          <w:highlight w:val="none"/>
        </w:rPr>
      </w:pPr>
      <w:r>
        <w:rPr>
          <w:rFonts w:hint="eastAsia" w:ascii="仿宋_GB2312" w:hAnsi="仿宋_GB2312" w:eastAsia="仿宋_GB2312" w:cs="仿宋_GB2312"/>
          <w:bCs w:val="0"/>
          <w:color w:val="auto"/>
          <w:kern w:val="2"/>
          <w:szCs w:val="32"/>
          <w:highlight w:val="none"/>
          <w:u w:val="none"/>
        </w:rPr>
        <w:t>对符合条件的文化、体育企业，按最高不超过上年度实际支付租金的</w:t>
      </w:r>
      <w:r>
        <w:rPr>
          <w:rFonts w:ascii="仿宋_GB2312" w:hAnsi="仿宋_GB2312" w:eastAsia="仿宋_GB2312" w:cs="仿宋_GB2312"/>
          <w:bCs w:val="0"/>
          <w:color w:val="auto"/>
          <w:kern w:val="2"/>
          <w:szCs w:val="32"/>
          <w:highlight w:val="none"/>
          <w:u w:val="none"/>
        </w:rPr>
        <w:t>35%</w:t>
      </w:r>
      <w:r>
        <w:rPr>
          <w:rFonts w:hint="eastAsia" w:ascii="仿宋_GB2312" w:hAnsi="仿宋_GB2312" w:cs="仿宋_GB2312"/>
          <w:color w:val="auto"/>
          <w:szCs w:val="32"/>
          <w:highlight w:val="none"/>
        </w:rPr>
        <w:t>给予房租补贴</w:t>
      </w:r>
      <w:r>
        <w:rPr>
          <w:rFonts w:hint="eastAsia" w:ascii="仿宋_GB2312" w:hAnsi="仿宋_GB2312" w:eastAsia="仿宋_GB2312" w:cs="仿宋_GB2312"/>
          <w:bCs w:val="0"/>
          <w:color w:val="auto"/>
          <w:kern w:val="2"/>
          <w:szCs w:val="32"/>
          <w:highlight w:val="none"/>
          <w:u w:val="none"/>
        </w:rPr>
        <w:t>，每家单位每年最高不超过</w:t>
      </w:r>
      <w:r>
        <w:rPr>
          <w:rFonts w:ascii="仿宋_GB2312" w:hAnsi="仿宋_GB2312" w:eastAsia="仿宋_GB2312" w:cs="仿宋_GB2312"/>
          <w:bCs w:val="0"/>
          <w:color w:val="auto"/>
          <w:kern w:val="2"/>
          <w:szCs w:val="32"/>
          <w:highlight w:val="none"/>
          <w:u w:val="none"/>
        </w:rPr>
        <w:t>150万元</w:t>
      </w:r>
      <w:r>
        <w:rPr>
          <w:rFonts w:hint="eastAsia" w:ascii="仿宋_GB2312" w:hAnsi="仿宋_GB2312" w:eastAsia="仿宋_GB2312" w:cs="仿宋_GB2312"/>
          <w:bCs w:val="0"/>
          <w:color w:val="auto"/>
          <w:kern w:val="2"/>
          <w:szCs w:val="32"/>
          <w:highlight w:val="none"/>
          <w:u w:val="none"/>
        </w:rPr>
        <w:t>。资助期限不超过</w:t>
      </w:r>
      <w:r>
        <w:rPr>
          <w:rFonts w:ascii="仿宋_GB2312" w:hAnsi="仿宋_GB2312" w:eastAsia="仿宋_GB2312" w:cs="仿宋_GB2312"/>
          <w:bCs w:val="0"/>
          <w:color w:val="auto"/>
          <w:kern w:val="2"/>
          <w:szCs w:val="32"/>
          <w:highlight w:val="none"/>
          <w:u w:val="none"/>
        </w:rPr>
        <w:t>3年。</w:t>
      </w:r>
    </w:p>
    <w:p>
      <w:pPr>
        <w:keepNext w:val="0"/>
        <w:keepLines w:val="0"/>
        <w:pageBreakBefore w:val="0"/>
        <w:widowControl w:val="0"/>
        <w:kinsoku/>
        <w:wordWrap/>
        <w:overflowPunct/>
        <w:topLinePunct w:val="0"/>
        <w:bidi w:val="0"/>
        <w:spacing w:beforeAutospacing="0" w:afterAutospacing="0" w:line="560" w:lineRule="exact"/>
        <w:ind w:left="0" w:leftChars="0" w:firstLine="643" w:firstLineChars="200"/>
        <w:rPr>
          <w:rFonts w:eastAsia="楷体_GB2312" w:asciiTheme="majorHAnsi" w:hAnsiTheme="majorHAnsi" w:cstheme="majorBidi"/>
          <w:b/>
          <w:bCs/>
          <w:szCs w:val="32"/>
        </w:rPr>
      </w:pPr>
      <w:bookmarkStart w:id="1749" w:name="_Toc1948"/>
      <w:bookmarkStart w:id="1750" w:name="_Toc24958"/>
      <w:bookmarkStart w:id="1751" w:name="_Toc69913876"/>
      <w:bookmarkStart w:id="1752" w:name="_Toc13236"/>
      <w:bookmarkStart w:id="1753" w:name="_Toc20582"/>
      <w:bookmarkStart w:id="1754" w:name="_Toc28152"/>
      <w:bookmarkStart w:id="1755" w:name="_Toc31270"/>
      <w:bookmarkStart w:id="1756" w:name="_Toc31634"/>
      <w:bookmarkStart w:id="1757" w:name="_Toc28065"/>
      <w:bookmarkStart w:id="1758" w:name="_Toc31022"/>
      <w:bookmarkStart w:id="1759" w:name="_Toc14029"/>
      <w:r>
        <w:rPr>
          <w:rFonts w:hint="default" w:eastAsia="楷体_GB2312" w:asciiTheme="majorHAnsi" w:hAnsiTheme="majorHAnsi" w:cstheme="majorBidi"/>
          <w:b/>
          <w:bCs/>
          <w:szCs w:val="32"/>
          <w:u w:val="none"/>
        </w:rPr>
        <w:t>第十</w:t>
      </w:r>
      <w:r>
        <w:rPr>
          <w:rFonts w:hint="default" w:eastAsia="楷体_GB2312" w:asciiTheme="majorHAnsi" w:hAnsiTheme="majorHAnsi" w:cstheme="majorBidi"/>
          <w:b/>
          <w:bCs/>
          <w:szCs w:val="32"/>
        </w:rPr>
        <w:t>三</w:t>
      </w:r>
      <w:r>
        <w:rPr>
          <w:rFonts w:hint="default" w:eastAsia="楷体_GB2312" w:asciiTheme="majorHAnsi" w:hAnsiTheme="majorHAnsi" w:cstheme="majorBidi"/>
          <w:b/>
          <w:bCs/>
          <w:szCs w:val="32"/>
          <w:u w:val="none"/>
        </w:rPr>
        <w:t>条</w:t>
      </w:r>
      <w:r>
        <w:rPr>
          <w:rFonts w:eastAsia="楷体_GB2312" w:asciiTheme="majorHAnsi" w:hAnsiTheme="majorHAnsi" w:cstheme="majorBidi"/>
          <w:b/>
          <w:bCs/>
          <w:szCs w:val="32"/>
          <w:u w:val="none"/>
        </w:rPr>
        <w:t xml:space="preserve"> </w:t>
      </w:r>
      <w:r>
        <w:rPr>
          <w:rFonts w:hint="default" w:eastAsia="楷体_GB2312" w:asciiTheme="majorHAnsi" w:hAnsiTheme="majorHAnsi" w:cstheme="majorBidi"/>
          <w:b/>
          <w:bCs/>
          <w:szCs w:val="32"/>
          <w:u w:val="none"/>
          <w:lang w:val="en-US" w:eastAsia="zh-CN"/>
        </w:rPr>
        <w:t xml:space="preserve"> </w:t>
      </w:r>
      <w:r>
        <w:rPr>
          <w:rFonts w:hint="default" w:eastAsia="楷体_GB2312" w:asciiTheme="majorHAnsi" w:hAnsiTheme="majorHAnsi" w:cstheme="majorBidi"/>
          <w:b/>
          <w:bCs/>
          <w:szCs w:val="32"/>
        </w:rPr>
        <w:t>支持城市更新过渡期发展</w:t>
      </w:r>
      <w:bookmarkEnd w:id="1749"/>
      <w:bookmarkEnd w:id="1750"/>
      <w:bookmarkEnd w:id="1751"/>
      <w:bookmarkEnd w:id="1752"/>
      <w:bookmarkEnd w:id="1753"/>
      <w:bookmarkEnd w:id="1754"/>
      <w:bookmarkEnd w:id="1755"/>
      <w:bookmarkEnd w:id="1756"/>
      <w:bookmarkEnd w:id="1757"/>
      <w:bookmarkEnd w:id="1758"/>
      <w:bookmarkEnd w:id="1759"/>
    </w:p>
    <w:p>
      <w:pPr>
        <w:keepNext w:val="0"/>
        <w:keepLines w:val="0"/>
        <w:pageBreakBefore w:val="0"/>
        <w:widowControl w:val="0"/>
        <w:kinsoku/>
        <w:wordWrap/>
        <w:overflowPunct/>
        <w:topLinePunct w:val="0"/>
        <w:autoSpaceDN w:val="0"/>
        <w:bidi w:val="0"/>
        <w:spacing w:beforeAutospacing="0" w:afterAutospacing="0" w:line="560" w:lineRule="exact"/>
        <w:ind w:left="0" w:leftChars="0" w:firstLine="640" w:firstLineChars="200"/>
        <w:rPr>
          <w:rFonts w:ascii="仿宋_GB2312" w:hAnsi="仿宋_GB2312" w:cs="仿宋_GB2312"/>
          <w:color w:val="auto"/>
          <w:szCs w:val="32"/>
          <w:highlight w:val="none"/>
        </w:rPr>
      </w:pPr>
      <w:r>
        <w:rPr>
          <w:rFonts w:hint="eastAsia" w:ascii="仿宋_GB2312" w:hAnsi="仿宋_GB2312" w:eastAsia="仿宋_GB2312" w:cs="仿宋_GB2312"/>
          <w:bCs w:val="0"/>
          <w:color w:val="auto"/>
          <w:kern w:val="2"/>
          <w:szCs w:val="32"/>
          <w:highlight w:val="none"/>
          <w:u w:val="none"/>
        </w:rPr>
        <w:t>对入驻市级以上文化、体育产业园区的文化、体育企业，因园区城市更新搬迁至南山区内其他社会物业的，按实际支付租金的</w:t>
      </w:r>
      <w:r>
        <w:rPr>
          <w:rFonts w:ascii="仿宋_GB2312" w:hAnsi="仿宋_GB2312" w:eastAsia="仿宋_GB2312" w:cs="仿宋_GB2312"/>
          <w:bCs w:val="0"/>
          <w:color w:val="auto"/>
          <w:kern w:val="2"/>
          <w:szCs w:val="32"/>
          <w:highlight w:val="none"/>
          <w:u w:val="none"/>
        </w:rPr>
        <w:t>25%给予房租补贴，每家企业每年</w:t>
      </w:r>
      <w:r>
        <w:rPr>
          <w:rFonts w:hint="eastAsia" w:ascii="仿宋_GB2312" w:hAnsi="仿宋_GB2312" w:eastAsia="仿宋_GB2312" w:cs="仿宋_GB2312"/>
          <w:bCs w:val="0"/>
          <w:color w:val="auto"/>
          <w:kern w:val="2"/>
          <w:szCs w:val="32"/>
          <w:highlight w:val="none"/>
          <w:u w:val="none"/>
        </w:rPr>
        <w:t>最高不超过</w:t>
      </w:r>
      <w:r>
        <w:rPr>
          <w:rFonts w:ascii="仿宋_GB2312" w:hAnsi="仿宋_GB2312" w:eastAsia="仿宋_GB2312" w:cs="仿宋_GB2312"/>
          <w:bCs w:val="0"/>
          <w:color w:val="auto"/>
          <w:kern w:val="2"/>
          <w:szCs w:val="32"/>
          <w:highlight w:val="none"/>
          <w:u w:val="none"/>
        </w:rPr>
        <w:t>60万元</w:t>
      </w:r>
      <w:r>
        <w:rPr>
          <w:rFonts w:hint="eastAsia" w:ascii="仿宋_GB2312" w:hAnsi="仿宋_GB2312" w:cs="仿宋_GB2312"/>
          <w:color w:val="auto"/>
          <w:szCs w:val="32"/>
          <w:highlight w:val="none"/>
        </w:rPr>
        <w:t>。资助期限</w:t>
      </w:r>
      <w:r>
        <w:rPr>
          <w:rFonts w:hint="eastAsia" w:ascii="仿宋_GB2312" w:hAnsi="仿宋_GB2312" w:eastAsia="仿宋_GB2312" w:cs="仿宋_GB2312"/>
          <w:bCs w:val="0"/>
          <w:color w:val="auto"/>
          <w:kern w:val="2"/>
          <w:szCs w:val="32"/>
          <w:highlight w:val="none"/>
          <w:u w:val="none"/>
        </w:rPr>
        <w:t>不超过</w:t>
      </w:r>
      <w:r>
        <w:rPr>
          <w:rFonts w:ascii="仿宋_GB2312" w:hAnsi="仿宋_GB2312" w:eastAsia="仿宋_GB2312" w:cs="仿宋_GB2312"/>
          <w:bCs w:val="0"/>
          <w:color w:val="auto"/>
          <w:kern w:val="2"/>
          <w:szCs w:val="32"/>
          <w:highlight w:val="none"/>
          <w:u w:val="none"/>
        </w:rPr>
        <w:t>2年。</w:t>
      </w:r>
    </w:p>
    <w:p>
      <w:pPr>
        <w:keepNext w:val="0"/>
        <w:keepLines w:val="0"/>
        <w:pageBreakBefore w:val="0"/>
        <w:widowControl w:val="0"/>
        <w:kinsoku/>
        <w:wordWrap/>
        <w:overflowPunct/>
        <w:topLinePunct w:val="0"/>
        <w:autoSpaceDE/>
        <w:autoSpaceDN w:val="0"/>
        <w:bidi w:val="0"/>
        <w:adjustRightInd/>
        <w:snapToGrid/>
        <w:spacing w:beforeAutospacing="0" w:afterAutospacing="0" w:line="560" w:lineRule="exact"/>
        <w:ind w:left="0" w:leftChars="0" w:firstLine="640" w:firstLineChars="200"/>
        <w:jc w:val="center"/>
        <w:textAlignment w:val="auto"/>
        <w:rPr>
          <w:rFonts w:ascii="黑体" w:hAnsi="黑体" w:eastAsia="黑体" w:cs="黑体"/>
          <w:color w:val="auto"/>
          <w:szCs w:val="32"/>
          <w:highlight w:val="none"/>
        </w:rPr>
      </w:pPr>
    </w:p>
    <w:p>
      <w:pPr>
        <w:pStyle w:val="2"/>
        <w:keepNext w:val="0"/>
        <w:keepLines w:val="0"/>
        <w:pageBreakBefore w:val="0"/>
        <w:widowControl w:val="0"/>
        <w:kinsoku/>
        <w:wordWrap/>
        <w:overflowPunct/>
        <w:topLinePunct w:val="0"/>
        <w:autoSpaceDE/>
        <w:autoSpaceDN w:val="0"/>
        <w:bidi w:val="0"/>
        <w:adjustRightInd/>
        <w:snapToGrid/>
        <w:spacing w:before="0" w:beforeLines="0" w:beforeAutospacing="0" w:after="0" w:afterLines="0" w:afterAutospacing="0" w:line="560" w:lineRule="exact"/>
        <w:ind w:left="0" w:leftChars="0" w:firstLine="640" w:firstLineChars="200"/>
        <w:jc w:val="center"/>
        <w:textAlignment w:val="auto"/>
        <w:rPr>
          <w:color w:val="auto"/>
          <w:highlight w:val="none"/>
        </w:rPr>
      </w:pPr>
      <w:bookmarkStart w:id="1760" w:name="_Toc8042"/>
      <w:bookmarkStart w:id="1761" w:name="_Toc18337"/>
      <w:bookmarkStart w:id="1762" w:name="_Toc23150"/>
      <w:bookmarkStart w:id="1763" w:name="_Toc32234"/>
      <w:bookmarkStart w:id="1764" w:name="_Toc948"/>
      <w:bookmarkStart w:id="1765" w:name="_Toc10263"/>
      <w:bookmarkStart w:id="1766" w:name="_Toc19864"/>
      <w:bookmarkStart w:id="1767" w:name="_Toc69913877"/>
      <w:bookmarkStart w:id="1768" w:name="_Toc28087"/>
      <w:bookmarkStart w:id="1769" w:name="_Toc4356"/>
      <w:bookmarkStart w:id="1770" w:name="_Toc30513"/>
      <w:r>
        <w:rPr>
          <w:rFonts w:hint="eastAsia"/>
          <w:color w:val="auto"/>
          <w:highlight w:val="none"/>
          <w:u w:val="none"/>
        </w:rPr>
        <w:t>第</w:t>
      </w:r>
      <w:r>
        <w:rPr>
          <w:rFonts w:hint="eastAsia"/>
          <w:color w:val="auto"/>
          <w:highlight w:val="none"/>
        </w:rPr>
        <w:t>五</w:t>
      </w:r>
      <w:r>
        <w:rPr>
          <w:rFonts w:hint="eastAsia"/>
          <w:color w:val="auto"/>
          <w:highlight w:val="none"/>
          <w:u w:val="none"/>
        </w:rPr>
        <w:t>章</w:t>
      </w:r>
      <w:r>
        <w:rPr>
          <w:color w:val="auto"/>
          <w:highlight w:val="none"/>
          <w:u w:val="none"/>
        </w:rPr>
        <w:t xml:space="preserve"> </w:t>
      </w:r>
      <w:r>
        <w:rPr>
          <w:rFonts w:hint="eastAsia"/>
          <w:color w:val="auto"/>
          <w:highlight w:val="none"/>
          <w:u w:val="none"/>
          <w:lang w:val="en-US" w:eastAsia="zh-CN"/>
        </w:rPr>
        <w:t xml:space="preserve"> </w:t>
      </w:r>
      <w:r>
        <w:rPr>
          <w:rFonts w:hint="eastAsia"/>
          <w:color w:val="auto"/>
          <w:highlight w:val="none"/>
          <w:u w:val="none"/>
        </w:rPr>
        <w:t>支持繁荣文化市场</w:t>
      </w:r>
      <w:bookmarkEnd w:id="1760"/>
      <w:bookmarkEnd w:id="1761"/>
      <w:bookmarkEnd w:id="1762"/>
      <w:bookmarkEnd w:id="1763"/>
      <w:bookmarkEnd w:id="1764"/>
      <w:bookmarkEnd w:id="1765"/>
      <w:bookmarkEnd w:id="1766"/>
      <w:bookmarkEnd w:id="1767"/>
      <w:bookmarkEnd w:id="1768"/>
      <w:bookmarkEnd w:id="1769"/>
      <w:bookmarkEnd w:id="1770"/>
    </w:p>
    <w:p>
      <w:pPr>
        <w:pStyle w:val="3"/>
        <w:keepNext w:val="0"/>
        <w:keepLines w:val="0"/>
        <w:pageBreakBefore w:val="0"/>
        <w:widowControl w:val="0"/>
        <w:kinsoku/>
        <w:wordWrap/>
        <w:overflowPunct/>
        <w:topLinePunct w:val="0"/>
        <w:autoSpaceDE/>
        <w:bidi w:val="0"/>
        <w:adjustRightInd/>
        <w:snapToGrid/>
        <w:spacing w:before="0" w:beforeLines="0" w:beforeAutospacing="0" w:after="0" w:afterLines="0" w:afterAutospacing="0" w:line="560" w:lineRule="exact"/>
        <w:ind w:left="0" w:leftChars="0" w:firstLine="640"/>
        <w:textAlignment w:val="auto"/>
        <w:rPr>
          <w:rFonts w:hint="eastAsia"/>
          <w:b/>
          <w:bCs w:val="0"/>
          <w:color w:val="auto"/>
          <w:highlight w:val="none"/>
          <w:u w:val="none"/>
        </w:rPr>
      </w:pPr>
      <w:bookmarkStart w:id="1771" w:name="_Toc6162"/>
      <w:bookmarkStart w:id="1772" w:name="_Toc13169"/>
      <w:bookmarkStart w:id="1773" w:name="_Toc6831"/>
      <w:bookmarkStart w:id="1774" w:name="_Toc23401"/>
      <w:bookmarkStart w:id="1775" w:name="_Toc12547"/>
      <w:bookmarkStart w:id="1776" w:name="_Toc19249"/>
      <w:bookmarkStart w:id="1777" w:name="_Hlk52318706"/>
      <w:bookmarkStart w:id="1778" w:name="_Toc69913878"/>
      <w:bookmarkStart w:id="1779" w:name="_Toc477"/>
      <w:bookmarkStart w:id="1780" w:name="_Toc8863"/>
      <w:bookmarkStart w:id="1781" w:name="_Toc17989"/>
      <w:bookmarkStart w:id="1782" w:name="_Toc4982"/>
    </w:p>
    <w:p>
      <w:pPr>
        <w:keepNext w:val="0"/>
        <w:keepLines w:val="0"/>
        <w:pageBreakBefore w:val="0"/>
        <w:widowControl w:val="0"/>
        <w:kinsoku/>
        <w:wordWrap/>
        <w:overflowPunct/>
        <w:topLinePunct w:val="0"/>
        <w:bidi w:val="0"/>
        <w:spacing w:beforeAutospacing="0" w:afterAutospacing="0" w:line="560" w:lineRule="exact"/>
        <w:ind w:left="0" w:leftChars="0" w:firstLine="643" w:firstLineChars="200"/>
        <w:rPr>
          <w:rFonts w:eastAsia="楷体_GB2312" w:asciiTheme="majorHAnsi" w:hAnsiTheme="majorHAnsi" w:cstheme="majorBidi"/>
          <w:b/>
          <w:bCs/>
          <w:kern w:val="2"/>
          <w:sz w:val="32"/>
          <w:szCs w:val="32"/>
          <w:u w:val="none"/>
          <w:lang w:val="en-US" w:eastAsia="zh-CN" w:bidi="ar-SA"/>
        </w:rPr>
      </w:pPr>
      <w:r>
        <w:rPr>
          <w:rFonts w:hint="default" w:eastAsia="楷体_GB2312" w:asciiTheme="majorHAnsi" w:hAnsiTheme="majorHAnsi" w:cstheme="majorBidi"/>
          <w:b/>
          <w:bCs/>
          <w:kern w:val="2"/>
          <w:sz w:val="32"/>
          <w:szCs w:val="32"/>
          <w:u w:val="none"/>
          <w:lang w:val="en-US" w:eastAsia="zh-CN" w:bidi="ar-SA"/>
        </w:rPr>
        <w:t>第十四条</w:t>
      </w:r>
      <w:r>
        <w:rPr>
          <w:rFonts w:eastAsia="楷体_GB2312" w:asciiTheme="majorHAnsi" w:hAnsiTheme="majorHAnsi" w:cstheme="majorBidi"/>
          <w:b/>
          <w:bCs/>
          <w:kern w:val="2"/>
          <w:sz w:val="32"/>
          <w:szCs w:val="32"/>
          <w:u w:val="none"/>
          <w:lang w:val="en-US" w:eastAsia="zh-CN" w:bidi="ar-SA"/>
        </w:rPr>
        <w:t xml:space="preserve"> </w:t>
      </w:r>
      <w:r>
        <w:rPr>
          <w:rFonts w:hint="default" w:eastAsia="楷体_GB2312" w:asciiTheme="majorHAnsi" w:hAnsiTheme="majorHAnsi" w:cstheme="majorBidi"/>
          <w:b/>
          <w:bCs/>
          <w:kern w:val="2"/>
          <w:sz w:val="32"/>
          <w:szCs w:val="32"/>
          <w:u w:val="none"/>
          <w:lang w:val="en-US" w:eastAsia="zh-CN" w:bidi="ar-SA"/>
        </w:rPr>
        <w:t xml:space="preserve"> 支持承办文化、体育产业展会及交流活动</w:t>
      </w:r>
      <w:bookmarkEnd w:id="1771"/>
      <w:bookmarkEnd w:id="1772"/>
      <w:bookmarkEnd w:id="1773"/>
      <w:bookmarkEnd w:id="1774"/>
      <w:bookmarkEnd w:id="1775"/>
      <w:bookmarkEnd w:id="1776"/>
      <w:bookmarkEnd w:id="1777"/>
      <w:bookmarkEnd w:id="1778"/>
      <w:bookmarkEnd w:id="1779"/>
      <w:bookmarkEnd w:id="1780"/>
      <w:bookmarkEnd w:id="1781"/>
      <w:bookmarkEnd w:id="1782"/>
    </w:p>
    <w:p>
      <w:pPr>
        <w:keepNext w:val="0"/>
        <w:keepLines w:val="0"/>
        <w:pageBreakBefore w:val="0"/>
        <w:widowControl w:val="0"/>
        <w:kinsoku/>
        <w:wordWrap/>
        <w:overflowPunct/>
        <w:topLinePunct w:val="0"/>
        <w:autoSpaceDN w:val="0"/>
        <w:bidi w:val="0"/>
        <w:spacing w:beforeAutospacing="0" w:afterAutospacing="0" w:line="560" w:lineRule="exact"/>
        <w:ind w:left="0" w:leftChars="0" w:firstLine="640" w:firstLineChars="200"/>
        <w:rPr>
          <w:rFonts w:ascii="仿宋_GB2312" w:hAnsi="仿宋_GB2312" w:cs="仿宋_GB2312"/>
          <w:color w:val="auto"/>
          <w:szCs w:val="32"/>
          <w:highlight w:val="none"/>
        </w:rPr>
      </w:pPr>
      <w:r>
        <w:rPr>
          <w:rFonts w:hint="eastAsia" w:ascii="仿宋_GB2312" w:hAnsi="仿宋_GB2312" w:eastAsia="仿宋_GB2312" w:cs="仿宋_GB2312"/>
          <w:bCs w:val="0"/>
          <w:color w:val="auto"/>
          <w:kern w:val="2"/>
          <w:szCs w:val="32"/>
          <w:highlight w:val="none"/>
          <w:u w:val="none"/>
        </w:rPr>
        <w:t>支持行业协会、专业机构和企业承办南山区政府或区产业主管部门组织举办的具有较大影响力的文化、体育产业专业展会、论坛及其他专业交流活动、文化或体育赛事等。符合条件的，</w:t>
      </w:r>
      <w:r>
        <w:rPr>
          <w:rFonts w:hint="eastAsia" w:ascii="仿宋_GB2312" w:hAnsi="仿宋_GB2312" w:cs="仿宋_GB2312"/>
          <w:color w:val="auto"/>
          <w:szCs w:val="32"/>
          <w:highlight w:val="none"/>
        </w:rPr>
        <w:t>每个活动按最高不超过300万元予以资助。</w:t>
      </w:r>
    </w:p>
    <w:p>
      <w:pPr>
        <w:keepNext w:val="0"/>
        <w:keepLines w:val="0"/>
        <w:pageBreakBefore w:val="0"/>
        <w:widowControl w:val="0"/>
        <w:kinsoku/>
        <w:wordWrap/>
        <w:overflowPunct/>
        <w:topLinePunct w:val="0"/>
        <w:bidi w:val="0"/>
        <w:spacing w:beforeAutospacing="0" w:afterAutospacing="0" w:line="560" w:lineRule="exact"/>
        <w:ind w:left="0" w:leftChars="0" w:firstLine="643" w:firstLineChars="200"/>
        <w:rPr>
          <w:rFonts w:eastAsia="楷体_GB2312" w:asciiTheme="majorHAnsi" w:hAnsiTheme="majorHAnsi" w:cstheme="majorBidi"/>
          <w:b/>
          <w:bCs/>
          <w:kern w:val="2"/>
          <w:sz w:val="32"/>
          <w:szCs w:val="32"/>
          <w:u w:val="none"/>
          <w:lang w:val="en-US" w:eastAsia="zh-CN" w:bidi="ar-SA"/>
        </w:rPr>
      </w:pPr>
      <w:bookmarkStart w:id="1783" w:name="_Toc30496"/>
      <w:bookmarkStart w:id="1784" w:name="_Toc28675"/>
      <w:bookmarkStart w:id="1785" w:name="_Toc69913879"/>
      <w:bookmarkStart w:id="1786" w:name="_Toc22220"/>
      <w:bookmarkStart w:id="1787" w:name="_Toc27704"/>
      <w:bookmarkStart w:id="1788" w:name="_Toc243"/>
      <w:bookmarkStart w:id="1789" w:name="_Toc24749"/>
      <w:bookmarkStart w:id="1790" w:name="_Toc16281"/>
      <w:bookmarkStart w:id="1791" w:name="_Toc21642"/>
      <w:bookmarkStart w:id="1792" w:name="_Toc16817"/>
      <w:bookmarkStart w:id="1793" w:name="_Toc11472"/>
      <w:r>
        <w:rPr>
          <w:rFonts w:hint="default" w:eastAsia="楷体_GB2312" w:asciiTheme="majorHAnsi" w:hAnsiTheme="majorHAnsi" w:cstheme="majorBidi"/>
          <w:b/>
          <w:bCs/>
          <w:kern w:val="2"/>
          <w:sz w:val="32"/>
          <w:szCs w:val="32"/>
          <w:u w:val="none"/>
          <w:lang w:val="en-US" w:eastAsia="zh-CN" w:bidi="ar-SA"/>
        </w:rPr>
        <w:t>第十五条</w:t>
      </w:r>
      <w:r>
        <w:rPr>
          <w:rFonts w:eastAsia="楷体_GB2312" w:asciiTheme="majorHAnsi" w:hAnsiTheme="majorHAnsi" w:cstheme="majorBidi"/>
          <w:b/>
          <w:bCs/>
          <w:kern w:val="2"/>
          <w:sz w:val="32"/>
          <w:szCs w:val="32"/>
          <w:u w:val="none"/>
          <w:lang w:val="en-US" w:eastAsia="zh-CN" w:bidi="ar-SA"/>
        </w:rPr>
        <w:t xml:space="preserve"> </w:t>
      </w:r>
      <w:r>
        <w:rPr>
          <w:rFonts w:hint="default" w:eastAsia="楷体_GB2312" w:asciiTheme="majorHAnsi" w:hAnsiTheme="majorHAnsi" w:cstheme="majorBidi"/>
          <w:b/>
          <w:bCs/>
          <w:kern w:val="2"/>
          <w:sz w:val="32"/>
          <w:szCs w:val="32"/>
          <w:u w:val="none"/>
          <w:lang w:val="en-US" w:eastAsia="zh-CN" w:bidi="ar-SA"/>
        </w:rPr>
        <w:t xml:space="preserve"> 支持参加深圳“文博会”</w:t>
      </w:r>
      <w:bookmarkEnd w:id="1783"/>
      <w:bookmarkEnd w:id="1784"/>
      <w:bookmarkEnd w:id="1785"/>
      <w:bookmarkEnd w:id="1786"/>
      <w:bookmarkEnd w:id="1787"/>
      <w:bookmarkEnd w:id="1788"/>
      <w:bookmarkEnd w:id="1789"/>
      <w:bookmarkEnd w:id="1790"/>
      <w:bookmarkEnd w:id="1791"/>
      <w:bookmarkEnd w:id="1792"/>
      <w:bookmarkEnd w:id="1793"/>
    </w:p>
    <w:p>
      <w:pPr>
        <w:keepNext w:val="0"/>
        <w:keepLines w:val="0"/>
        <w:pageBreakBefore w:val="0"/>
        <w:widowControl w:val="0"/>
        <w:kinsoku/>
        <w:wordWrap/>
        <w:overflowPunct/>
        <w:topLinePunct w:val="0"/>
        <w:autoSpaceDN w:val="0"/>
        <w:bidi w:val="0"/>
        <w:spacing w:beforeAutospacing="0" w:afterAutospacing="0" w:line="560" w:lineRule="exact"/>
        <w:ind w:left="0" w:leftChars="0" w:firstLine="640" w:firstLineChars="200"/>
        <w:rPr>
          <w:rFonts w:ascii="仿宋_GB2312" w:hAnsi="仿宋_GB2312" w:cs="仿宋_GB2312"/>
          <w:color w:val="auto"/>
          <w:szCs w:val="32"/>
          <w:highlight w:val="none"/>
        </w:rPr>
      </w:pPr>
      <w:r>
        <w:rPr>
          <w:rFonts w:hint="eastAsia" w:ascii="仿宋_GB2312" w:hAnsi="仿宋_GB2312" w:eastAsia="仿宋_GB2312" w:cs="仿宋_GB2312"/>
          <w:bCs w:val="0"/>
          <w:color w:val="auto"/>
          <w:kern w:val="2"/>
          <w:szCs w:val="32"/>
          <w:highlight w:val="none"/>
          <w:u w:val="none"/>
        </w:rPr>
        <w:t>支持企业参加中国（深圳）国际文化产业博览交易会（以下简称深圳“文博会”）。对承办我区深圳“文博会”分会场的单位，</w:t>
      </w:r>
      <w:bookmarkStart w:id="1794" w:name="_Hlk69911406"/>
      <w:r>
        <w:rPr>
          <w:rFonts w:hint="eastAsia" w:ascii="仿宋_GB2312" w:hAnsi="仿宋_GB2312" w:eastAsia="仿宋_GB2312" w:cs="仿宋_GB2312"/>
          <w:bCs w:val="0"/>
          <w:color w:val="auto"/>
          <w:kern w:val="2"/>
          <w:szCs w:val="32"/>
          <w:highlight w:val="none"/>
          <w:u w:val="none"/>
        </w:rPr>
        <w:t>按实际发生费用的</w:t>
      </w:r>
      <w:r>
        <w:rPr>
          <w:rFonts w:ascii="仿宋_GB2312" w:hAnsi="仿宋_GB2312" w:eastAsia="仿宋_GB2312" w:cs="仿宋_GB2312"/>
          <w:bCs w:val="0"/>
          <w:color w:val="auto"/>
          <w:kern w:val="2"/>
          <w:szCs w:val="32"/>
          <w:highlight w:val="none"/>
          <w:u w:val="none"/>
        </w:rPr>
        <w:t>50%，给予最高不超过30万元的补贴</w:t>
      </w:r>
      <w:bookmarkEnd w:id="1794"/>
      <w:r>
        <w:rPr>
          <w:rFonts w:hint="eastAsia" w:ascii="仿宋_GB2312" w:hAnsi="仿宋_GB2312" w:eastAsia="仿宋_GB2312" w:cs="仿宋_GB2312"/>
          <w:bCs w:val="0"/>
          <w:color w:val="auto"/>
          <w:kern w:val="2"/>
          <w:szCs w:val="32"/>
          <w:highlight w:val="none"/>
          <w:u w:val="none"/>
        </w:rPr>
        <w:t>；对</w:t>
      </w:r>
      <w:bookmarkStart w:id="1795" w:name="_Hlk52296143"/>
      <w:r>
        <w:rPr>
          <w:rFonts w:hint="eastAsia" w:ascii="仿宋_GB2312" w:hAnsi="仿宋_GB2312" w:eastAsia="仿宋_GB2312" w:cs="仿宋_GB2312"/>
          <w:bCs w:val="0"/>
          <w:color w:val="auto"/>
          <w:kern w:val="2"/>
          <w:szCs w:val="32"/>
          <w:highlight w:val="none"/>
          <w:u w:val="none"/>
        </w:rPr>
        <w:t>承办我区“文博会”配套文化活动的单位</w:t>
      </w:r>
      <w:bookmarkEnd w:id="1795"/>
      <w:r>
        <w:rPr>
          <w:rFonts w:hint="eastAsia" w:ascii="仿宋_GB2312" w:hAnsi="仿宋_GB2312" w:eastAsia="仿宋_GB2312" w:cs="仿宋_GB2312"/>
          <w:bCs w:val="0"/>
          <w:color w:val="auto"/>
          <w:kern w:val="2"/>
          <w:szCs w:val="32"/>
          <w:highlight w:val="none"/>
          <w:u w:val="none"/>
        </w:rPr>
        <w:t>，按照活动实际发生费用的</w:t>
      </w:r>
      <w:r>
        <w:rPr>
          <w:rFonts w:ascii="仿宋_GB2312" w:hAnsi="仿宋_GB2312" w:eastAsia="仿宋_GB2312" w:cs="仿宋_GB2312"/>
          <w:bCs w:val="0"/>
          <w:color w:val="auto"/>
          <w:kern w:val="2"/>
          <w:szCs w:val="32"/>
          <w:highlight w:val="none"/>
          <w:u w:val="none"/>
        </w:rPr>
        <w:t>50%，给予最高不超过20万元的补贴；获评为市优秀分会场的单位，按照深圳市奖励实际到账金额的50%予以配套奖励。</w:t>
      </w:r>
    </w:p>
    <w:p>
      <w:pPr>
        <w:keepNext w:val="0"/>
        <w:keepLines w:val="0"/>
        <w:pageBreakBefore w:val="0"/>
        <w:widowControl w:val="0"/>
        <w:kinsoku/>
        <w:wordWrap/>
        <w:overflowPunct/>
        <w:topLinePunct w:val="0"/>
        <w:bidi w:val="0"/>
        <w:spacing w:beforeAutospacing="0" w:afterAutospacing="0" w:line="560" w:lineRule="exact"/>
        <w:ind w:left="0" w:leftChars="0" w:firstLine="643" w:firstLineChars="200"/>
        <w:rPr>
          <w:rFonts w:eastAsia="楷体_GB2312" w:asciiTheme="majorHAnsi" w:hAnsiTheme="majorHAnsi" w:cstheme="majorBidi"/>
          <w:b/>
          <w:bCs/>
          <w:kern w:val="2"/>
          <w:sz w:val="32"/>
          <w:szCs w:val="32"/>
          <w:u w:val="none"/>
          <w:lang w:val="en-US" w:eastAsia="zh-CN" w:bidi="ar-SA"/>
        </w:rPr>
      </w:pPr>
      <w:bookmarkStart w:id="1796" w:name="_Toc14299"/>
      <w:bookmarkStart w:id="1797" w:name="_Toc26176"/>
      <w:bookmarkStart w:id="1798" w:name="_Toc69913880"/>
      <w:bookmarkStart w:id="1799" w:name="_Toc19851"/>
      <w:bookmarkStart w:id="1800" w:name="_Toc29777"/>
      <w:bookmarkStart w:id="1801" w:name="_Toc31406"/>
      <w:bookmarkStart w:id="1802" w:name="_Toc21394"/>
      <w:bookmarkStart w:id="1803" w:name="_Toc6475"/>
      <w:bookmarkStart w:id="1804" w:name="_Toc25686"/>
      <w:r>
        <w:rPr>
          <w:rFonts w:hint="default" w:eastAsia="楷体_GB2312" w:asciiTheme="majorHAnsi" w:hAnsiTheme="majorHAnsi" w:cstheme="majorBidi"/>
          <w:b/>
          <w:bCs/>
          <w:kern w:val="2"/>
          <w:sz w:val="32"/>
          <w:szCs w:val="32"/>
          <w:u w:val="none"/>
          <w:lang w:val="en-US" w:eastAsia="zh-CN" w:bidi="ar-SA"/>
        </w:rPr>
        <w:t>第十六条</w:t>
      </w:r>
      <w:r>
        <w:rPr>
          <w:rFonts w:eastAsia="楷体_GB2312" w:asciiTheme="majorHAnsi" w:hAnsiTheme="majorHAnsi" w:cstheme="majorBidi"/>
          <w:b/>
          <w:bCs/>
          <w:kern w:val="2"/>
          <w:sz w:val="32"/>
          <w:szCs w:val="32"/>
          <w:u w:val="none"/>
          <w:lang w:val="en-US" w:eastAsia="zh-CN" w:bidi="ar-SA"/>
        </w:rPr>
        <w:t xml:space="preserve"> </w:t>
      </w:r>
      <w:r>
        <w:rPr>
          <w:rFonts w:hint="default" w:eastAsia="楷体_GB2312" w:asciiTheme="majorHAnsi" w:hAnsiTheme="majorHAnsi" w:cstheme="majorBidi"/>
          <w:b/>
          <w:bCs/>
          <w:kern w:val="2"/>
          <w:sz w:val="32"/>
          <w:szCs w:val="32"/>
          <w:u w:val="none"/>
          <w:lang w:val="en-US" w:eastAsia="zh-CN" w:bidi="ar-SA"/>
        </w:rPr>
        <w:t xml:space="preserve"> 支持举办高端体育赛事</w:t>
      </w:r>
      <w:bookmarkEnd w:id="1796"/>
      <w:bookmarkEnd w:id="1797"/>
      <w:bookmarkEnd w:id="1798"/>
      <w:bookmarkEnd w:id="1799"/>
      <w:bookmarkEnd w:id="1800"/>
      <w:bookmarkEnd w:id="1801"/>
      <w:bookmarkEnd w:id="1802"/>
      <w:bookmarkEnd w:id="1803"/>
      <w:bookmarkEnd w:id="1804"/>
    </w:p>
    <w:p>
      <w:pPr>
        <w:keepNext w:val="0"/>
        <w:keepLines w:val="0"/>
        <w:pageBreakBefore w:val="0"/>
        <w:widowControl w:val="0"/>
        <w:kinsoku/>
        <w:wordWrap/>
        <w:overflowPunct/>
        <w:topLinePunct w:val="0"/>
        <w:bidi w:val="0"/>
        <w:adjustRightInd w:val="0"/>
        <w:snapToGrid w:val="0"/>
        <w:spacing w:beforeAutospacing="0" w:afterAutospacing="0" w:line="560" w:lineRule="exact"/>
        <w:ind w:left="0" w:leftChars="0" w:firstLine="640" w:firstLineChars="200"/>
        <w:rPr>
          <w:rFonts w:hAnsi="仿宋" w:eastAsia="仿宋"/>
          <w:color w:val="auto"/>
          <w:kern w:val="0"/>
          <w:szCs w:val="32"/>
          <w:highlight w:val="none"/>
        </w:rPr>
      </w:pPr>
      <w:r>
        <w:rPr>
          <w:rFonts w:hint="eastAsia" w:ascii="仿宋_GB2312" w:hAnsi="仿宋_GB2312" w:cs="仿宋_GB2312"/>
          <w:color w:val="auto"/>
          <w:szCs w:val="32"/>
          <w:highlight w:val="none"/>
        </w:rPr>
        <w:t>支持</w:t>
      </w:r>
      <w:r>
        <w:rPr>
          <w:rFonts w:hint="eastAsia" w:ascii="仿宋_GB2312" w:hAnsi="仿宋_GB2312" w:cs="仿宋_GB2312"/>
          <w:b w:val="0"/>
          <w:bCs w:val="0"/>
          <w:color w:val="auto"/>
          <w:szCs w:val="32"/>
          <w:highlight w:val="none"/>
          <w:u w:val="none"/>
        </w:rPr>
        <w:t>企业、社会组织和机构</w:t>
      </w:r>
      <w:r>
        <w:rPr>
          <w:rFonts w:hint="eastAsia" w:ascii="仿宋_GB2312" w:hAnsi="仿宋_GB2312" w:cs="仿宋_GB2312"/>
          <w:color w:val="auto"/>
          <w:highlight w:val="none"/>
        </w:rPr>
        <w:t>在南山区举办涉及奥运会参赛资格或积分的世界锦标赛、杯赛、公开赛等国际性高水平体育竞赛，每个</w:t>
      </w:r>
      <w:r>
        <w:rPr>
          <w:rFonts w:ascii="仿宋_GB2312" w:hAnsi="仿宋_GB2312" w:cs="仿宋_GB2312"/>
          <w:color w:val="auto"/>
          <w:highlight w:val="none"/>
        </w:rPr>
        <w:t>项目</w:t>
      </w:r>
      <w:r>
        <w:rPr>
          <w:rFonts w:hint="eastAsia" w:ascii="仿宋_GB2312" w:hAnsi="仿宋_GB2312" w:cs="仿宋_GB2312"/>
          <w:color w:val="auto"/>
          <w:highlight w:val="none"/>
        </w:rPr>
        <w:t>按最高不超过800万元给予办赛资助。</w:t>
      </w:r>
    </w:p>
    <w:p>
      <w:pPr>
        <w:keepNext w:val="0"/>
        <w:keepLines w:val="0"/>
        <w:pageBreakBefore w:val="0"/>
        <w:widowControl w:val="0"/>
        <w:kinsoku/>
        <w:wordWrap/>
        <w:overflowPunct/>
        <w:topLinePunct w:val="0"/>
        <w:bidi w:val="0"/>
        <w:spacing w:beforeAutospacing="0" w:afterAutospacing="0" w:line="560" w:lineRule="exact"/>
        <w:ind w:left="0" w:leftChars="0" w:firstLine="643" w:firstLineChars="200"/>
        <w:rPr>
          <w:rFonts w:hint="default" w:eastAsia="楷体_GB2312" w:asciiTheme="majorHAnsi" w:hAnsiTheme="majorHAnsi" w:cstheme="majorBidi"/>
          <w:b/>
          <w:bCs/>
          <w:kern w:val="2"/>
          <w:sz w:val="32"/>
          <w:szCs w:val="32"/>
          <w:u w:val="none"/>
          <w:lang w:val="en-US" w:eastAsia="zh-CN" w:bidi="ar-SA"/>
        </w:rPr>
      </w:pPr>
      <w:bookmarkStart w:id="1805" w:name="_Toc8874"/>
      <w:bookmarkStart w:id="1806" w:name="_Toc7885"/>
      <w:bookmarkStart w:id="1807" w:name="_Toc21979"/>
      <w:bookmarkStart w:id="1808" w:name="_Toc32062"/>
      <w:bookmarkStart w:id="1809" w:name="_Toc5712"/>
      <w:bookmarkStart w:id="1810" w:name="_Toc69913881"/>
      <w:bookmarkStart w:id="1811" w:name="_Toc21874"/>
      <w:bookmarkStart w:id="1812" w:name="_Toc7931"/>
      <w:bookmarkStart w:id="1813" w:name="_Toc15895"/>
      <w:bookmarkStart w:id="1814" w:name="_Toc48"/>
      <w:bookmarkStart w:id="1815" w:name="_Toc11734"/>
      <w:r>
        <w:rPr>
          <w:rFonts w:hint="default" w:eastAsia="楷体_GB2312" w:asciiTheme="majorHAnsi" w:hAnsiTheme="majorHAnsi" w:cstheme="majorBidi"/>
          <w:b/>
          <w:bCs/>
          <w:kern w:val="2"/>
          <w:sz w:val="32"/>
          <w:szCs w:val="32"/>
          <w:u w:val="none"/>
          <w:lang w:val="en-US" w:eastAsia="zh-CN" w:bidi="ar-SA"/>
        </w:rPr>
        <w:t>第十七条  支持文化消费发展</w:t>
      </w:r>
      <w:bookmarkEnd w:id="1805"/>
      <w:bookmarkEnd w:id="1806"/>
      <w:bookmarkEnd w:id="1807"/>
      <w:bookmarkEnd w:id="1808"/>
      <w:bookmarkEnd w:id="1809"/>
      <w:bookmarkEnd w:id="1810"/>
      <w:bookmarkEnd w:id="1811"/>
      <w:bookmarkEnd w:id="1812"/>
      <w:bookmarkEnd w:id="1813"/>
      <w:bookmarkEnd w:id="1814"/>
      <w:bookmarkEnd w:id="1815"/>
    </w:p>
    <w:p>
      <w:pPr>
        <w:pStyle w:val="3"/>
        <w:keepNext w:val="0"/>
        <w:keepLines w:val="0"/>
        <w:pageBreakBefore w:val="0"/>
        <w:widowControl w:val="0"/>
        <w:kinsoku/>
        <w:wordWrap/>
        <w:overflowPunct/>
        <w:topLinePunct w:val="0"/>
        <w:bidi w:val="0"/>
        <w:spacing w:before="0" w:beforeLines="0" w:beforeAutospacing="0" w:after="0" w:afterLines="0" w:afterAutospacing="0" w:line="560" w:lineRule="exact"/>
        <w:ind w:left="0" w:leftChars="0" w:firstLine="640"/>
        <w:jc w:val="both"/>
        <w:outlineLvl w:val="1"/>
        <w:rPr>
          <w:rFonts w:hint="eastAsia" w:ascii="仿宋_GB2312" w:hAnsi="仿宋_GB2312" w:eastAsia="仿宋_GB2312" w:cs="仿宋_GB2312"/>
          <w:b w:val="0"/>
          <w:bCs w:val="0"/>
          <w:color w:val="auto"/>
          <w:kern w:val="2"/>
          <w:sz w:val="32"/>
          <w:szCs w:val="24"/>
          <w:highlight w:val="none"/>
          <w:lang w:val="en-US" w:eastAsia="zh-CN" w:bidi="ar-SA"/>
        </w:rPr>
      </w:pPr>
      <w:r>
        <w:rPr>
          <w:rFonts w:hint="eastAsia" w:ascii="仿宋_GB2312" w:hAnsi="仿宋_GB2312" w:eastAsia="仿宋_GB2312" w:cs="仿宋_GB2312"/>
          <w:b w:val="0"/>
          <w:bCs w:val="0"/>
          <w:color w:val="auto"/>
          <w:kern w:val="2"/>
          <w:sz w:val="32"/>
          <w:szCs w:val="24"/>
          <w:highlight w:val="none"/>
          <w:lang w:val="en-US" w:eastAsia="zh-CN" w:bidi="ar-SA"/>
        </w:rPr>
        <w:t>（一）鼓励引进高端艺术演出活动。对引进在南山演出的国内外顶级剧团的经典剧目，按实际营收的10%给予奖励，每个剧目最高奖励不超过100万元，每家单位每年奖励总额最高不超过500万元。</w:t>
      </w:r>
    </w:p>
    <w:p>
      <w:pPr>
        <w:pStyle w:val="3"/>
        <w:keepNext w:val="0"/>
        <w:keepLines w:val="0"/>
        <w:pageBreakBefore w:val="0"/>
        <w:widowControl w:val="0"/>
        <w:kinsoku/>
        <w:wordWrap/>
        <w:overflowPunct/>
        <w:topLinePunct w:val="0"/>
        <w:bidi w:val="0"/>
        <w:spacing w:before="0" w:beforeLines="0" w:beforeAutospacing="0" w:after="0" w:afterLines="0" w:afterAutospacing="0" w:line="560" w:lineRule="exact"/>
        <w:ind w:left="0" w:leftChars="0" w:firstLine="640"/>
        <w:jc w:val="both"/>
        <w:outlineLvl w:val="1"/>
        <w:rPr>
          <w:rFonts w:hint="eastAsia" w:ascii="仿宋_GB2312" w:hAnsi="仿宋_GB2312" w:eastAsia="仿宋_GB2312" w:cs="仿宋_GB2312"/>
          <w:b w:val="0"/>
          <w:bCs w:val="0"/>
          <w:color w:val="auto"/>
          <w:kern w:val="2"/>
          <w:sz w:val="32"/>
          <w:szCs w:val="24"/>
          <w:highlight w:val="none"/>
          <w:lang w:val="en-US" w:eastAsia="zh-CN" w:bidi="ar-SA"/>
        </w:rPr>
      </w:pPr>
      <w:r>
        <w:rPr>
          <w:rFonts w:hint="eastAsia" w:ascii="仿宋_GB2312" w:hAnsi="仿宋_GB2312" w:eastAsia="仿宋_GB2312" w:cs="仿宋_GB2312"/>
          <w:b w:val="0"/>
          <w:bCs w:val="0"/>
          <w:color w:val="auto"/>
          <w:kern w:val="2"/>
          <w:sz w:val="32"/>
          <w:szCs w:val="24"/>
          <w:highlight w:val="none"/>
          <w:lang w:val="en-US" w:eastAsia="zh-CN" w:bidi="ar-SA"/>
        </w:rPr>
        <w:t>（二）支持影剧院发展。对南山区内“四上”在库企业运营的影院，按国家影院规模分级标准给予每年最高不超过20万元一次性补贴；对南山区内“四上”在库企业运营的剧院，按每个剧场每年给予30万元一次性补贴。每家企业每年补贴最高不超过</w:t>
      </w:r>
      <w:r>
        <w:rPr>
          <w:rFonts w:hint="default" w:ascii="仿宋_GB2312" w:hAnsi="仿宋_GB2312" w:eastAsia="仿宋_GB2312" w:cs="仿宋_GB2312"/>
          <w:b w:val="0"/>
          <w:bCs w:val="0"/>
          <w:color w:val="auto"/>
          <w:kern w:val="2"/>
          <w:sz w:val="32"/>
          <w:szCs w:val="24"/>
          <w:highlight w:val="none"/>
          <w:lang w:val="en-US" w:eastAsia="zh-CN" w:bidi="ar-SA"/>
        </w:rPr>
        <w:t>100</w:t>
      </w:r>
      <w:r>
        <w:rPr>
          <w:rFonts w:hint="eastAsia" w:ascii="仿宋_GB2312" w:hAnsi="仿宋_GB2312" w:eastAsia="仿宋_GB2312" w:cs="仿宋_GB2312"/>
          <w:b w:val="0"/>
          <w:bCs w:val="0"/>
          <w:color w:val="auto"/>
          <w:kern w:val="2"/>
          <w:sz w:val="32"/>
          <w:szCs w:val="24"/>
          <w:highlight w:val="none"/>
          <w:lang w:val="en-US" w:eastAsia="zh-CN" w:bidi="ar-SA"/>
        </w:rPr>
        <w:t>万元，资助期限不超过3年。</w:t>
      </w:r>
    </w:p>
    <w:p>
      <w:pPr>
        <w:keepNext w:val="0"/>
        <w:keepLines w:val="0"/>
        <w:pageBreakBefore w:val="0"/>
        <w:widowControl w:val="0"/>
        <w:kinsoku/>
        <w:wordWrap/>
        <w:overflowPunct/>
        <w:topLinePunct w:val="0"/>
        <w:autoSpaceDE/>
        <w:autoSpaceDN w:val="0"/>
        <w:bidi w:val="0"/>
        <w:adjustRightInd/>
        <w:snapToGrid/>
        <w:spacing w:beforeAutospacing="0" w:afterAutospacing="0" w:line="560" w:lineRule="exact"/>
        <w:ind w:left="0" w:leftChars="0" w:firstLine="643" w:firstLineChars="200"/>
        <w:textAlignment w:val="auto"/>
        <w:rPr>
          <w:b/>
          <w:color w:val="auto"/>
          <w:highlight w:val="none"/>
        </w:rPr>
      </w:pPr>
    </w:p>
    <w:p>
      <w:pPr>
        <w:pStyle w:val="2"/>
        <w:keepNext w:val="0"/>
        <w:keepLines w:val="0"/>
        <w:pageBreakBefore w:val="0"/>
        <w:widowControl w:val="0"/>
        <w:kinsoku/>
        <w:wordWrap/>
        <w:overflowPunct/>
        <w:topLinePunct w:val="0"/>
        <w:autoSpaceDE/>
        <w:bidi w:val="0"/>
        <w:adjustRightInd/>
        <w:snapToGrid/>
        <w:spacing w:before="0" w:beforeLines="0" w:beforeAutospacing="0" w:after="0" w:afterLines="0" w:afterAutospacing="0" w:line="560" w:lineRule="exact"/>
        <w:ind w:left="0" w:leftChars="0" w:firstLine="0"/>
        <w:textAlignment w:val="auto"/>
        <w:rPr>
          <w:b/>
          <w:color w:val="auto"/>
          <w:highlight w:val="none"/>
        </w:rPr>
      </w:pPr>
      <w:bookmarkStart w:id="1816" w:name="_Toc76"/>
      <w:bookmarkStart w:id="1817" w:name="_Toc10520"/>
      <w:bookmarkStart w:id="1818" w:name="_Toc7794"/>
      <w:bookmarkStart w:id="1819" w:name="_Toc1031"/>
      <w:bookmarkStart w:id="1820" w:name="_Toc30243"/>
      <w:bookmarkStart w:id="1821" w:name="_Toc1351"/>
      <w:bookmarkStart w:id="1822" w:name="_Toc69913887"/>
      <w:bookmarkStart w:id="1823" w:name="_Toc21899"/>
      <w:bookmarkStart w:id="1824" w:name="_Toc23976"/>
      <w:r>
        <w:rPr>
          <w:rFonts w:hint="eastAsia"/>
          <w:color w:val="auto"/>
          <w:highlight w:val="none"/>
          <w:u w:val="none"/>
        </w:rPr>
        <w:t>第</w:t>
      </w:r>
      <w:r>
        <w:rPr>
          <w:rFonts w:hint="eastAsia"/>
          <w:color w:val="auto"/>
          <w:highlight w:val="none"/>
        </w:rPr>
        <w:t>六</w:t>
      </w:r>
      <w:r>
        <w:rPr>
          <w:rFonts w:hint="eastAsia"/>
          <w:color w:val="auto"/>
          <w:highlight w:val="none"/>
          <w:u w:val="none"/>
        </w:rPr>
        <w:t>章</w:t>
      </w:r>
      <w:r>
        <w:rPr>
          <w:color w:val="auto"/>
          <w:highlight w:val="none"/>
          <w:u w:val="none"/>
        </w:rPr>
        <w:t xml:space="preserve"> </w:t>
      </w:r>
      <w:r>
        <w:rPr>
          <w:rFonts w:hint="eastAsia"/>
          <w:color w:val="auto"/>
          <w:highlight w:val="none"/>
          <w:u w:val="none"/>
          <w:lang w:val="en-US" w:eastAsia="zh-CN"/>
        </w:rPr>
        <w:t xml:space="preserve"> </w:t>
      </w:r>
      <w:r>
        <w:rPr>
          <w:rFonts w:hint="eastAsia"/>
          <w:color w:val="auto"/>
          <w:highlight w:val="none"/>
          <w:u w:val="none"/>
        </w:rPr>
        <w:t>支持旅游业创新发展</w:t>
      </w:r>
      <w:bookmarkEnd w:id="1816"/>
      <w:bookmarkEnd w:id="1817"/>
      <w:bookmarkEnd w:id="1818"/>
      <w:bookmarkEnd w:id="1819"/>
      <w:bookmarkEnd w:id="1820"/>
      <w:bookmarkEnd w:id="1821"/>
      <w:bookmarkEnd w:id="1822"/>
      <w:bookmarkEnd w:id="1823"/>
      <w:bookmarkEnd w:id="1824"/>
    </w:p>
    <w:p>
      <w:pPr>
        <w:pStyle w:val="3"/>
        <w:keepNext w:val="0"/>
        <w:keepLines w:val="0"/>
        <w:pageBreakBefore w:val="0"/>
        <w:widowControl w:val="0"/>
        <w:kinsoku/>
        <w:wordWrap/>
        <w:overflowPunct/>
        <w:topLinePunct w:val="0"/>
        <w:autoSpaceDE/>
        <w:bidi w:val="0"/>
        <w:adjustRightInd/>
        <w:snapToGrid/>
        <w:spacing w:before="0" w:beforeLines="0" w:beforeAutospacing="0" w:after="0" w:afterLines="0" w:afterAutospacing="0" w:line="560" w:lineRule="exact"/>
        <w:ind w:left="0" w:leftChars="0" w:firstLine="640"/>
        <w:textAlignment w:val="auto"/>
        <w:rPr>
          <w:rFonts w:hint="eastAsia"/>
          <w:color w:val="auto"/>
          <w:highlight w:val="none"/>
        </w:rPr>
      </w:pPr>
      <w:bookmarkStart w:id="1825" w:name="_Toc9266"/>
      <w:bookmarkStart w:id="1826" w:name="_Toc20857"/>
      <w:bookmarkStart w:id="1827" w:name="_Toc14228"/>
      <w:bookmarkStart w:id="1828" w:name="_Toc27560"/>
      <w:bookmarkStart w:id="1829" w:name="_Toc9609"/>
      <w:bookmarkStart w:id="1830" w:name="_Toc22674"/>
      <w:bookmarkStart w:id="1831" w:name="_Toc69913890"/>
      <w:bookmarkStart w:id="1832" w:name="_Toc26642"/>
      <w:bookmarkStart w:id="1833" w:name="_Toc12302"/>
      <w:bookmarkStart w:id="1834" w:name="_Toc16315"/>
    </w:p>
    <w:p>
      <w:pPr>
        <w:keepNext w:val="0"/>
        <w:keepLines w:val="0"/>
        <w:pageBreakBefore w:val="0"/>
        <w:widowControl w:val="0"/>
        <w:kinsoku/>
        <w:wordWrap/>
        <w:overflowPunct/>
        <w:topLinePunct w:val="0"/>
        <w:bidi w:val="0"/>
        <w:spacing w:beforeAutospacing="0" w:afterAutospacing="0" w:line="560" w:lineRule="exact"/>
        <w:ind w:left="0" w:leftChars="0" w:firstLine="643" w:firstLineChars="200"/>
        <w:rPr>
          <w:rFonts w:eastAsia="楷体_GB2312" w:asciiTheme="majorHAnsi" w:hAnsiTheme="majorHAnsi" w:cstheme="majorBidi"/>
          <w:b/>
          <w:bCs/>
          <w:kern w:val="2"/>
          <w:sz w:val="32"/>
          <w:szCs w:val="32"/>
          <w:u w:val="none"/>
          <w:lang w:val="en-US" w:eastAsia="zh-CN" w:bidi="ar-SA"/>
        </w:rPr>
      </w:pPr>
      <w:r>
        <w:rPr>
          <w:rFonts w:hint="default" w:eastAsia="楷体_GB2312" w:asciiTheme="majorHAnsi" w:hAnsiTheme="majorHAnsi" w:cstheme="majorBidi"/>
          <w:b/>
          <w:bCs/>
          <w:kern w:val="2"/>
          <w:sz w:val="32"/>
          <w:szCs w:val="32"/>
          <w:u w:val="none"/>
          <w:lang w:val="en-US" w:eastAsia="zh-CN" w:bidi="ar-SA"/>
        </w:rPr>
        <w:t>第十八条</w:t>
      </w:r>
      <w:r>
        <w:rPr>
          <w:rFonts w:eastAsia="楷体_GB2312" w:asciiTheme="majorHAnsi" w:hAnsiTheme="majorHAnsi" w:cstheme="majorBidi"/>
          <w:b/>
          <w:bCs/>
          <w:kern w:val="2"/>
          <w:sz w:val="32"/>
          <w:szCs w:val="32"/>
          <w:u w:val="none"/>
          <w:lang w:val="en-US" w:eastAsia="zh-CN" w:bidi="ar-SA"/>
        </w:rPr>
        <w:t xml:space="preserve"> </w:t>
      </w:r>
      <w:r>
        <w:rPr>
          <w:rFonts w:hint="default" w:eastAsia="楷体_GB2312" w:asciiTheme="majorHAnsi" w:hAnsiTheme="majorHAnsi" w:cstheme="majorBidi"/>
          <w:b/>
          <w:bCs/>
          <w:kern w:val="2"/>
          <w:sz w:val="32"/>
          <w:szCs w:val="32"/>
          <w:u w:val="none"/>
          <w:lang w:val="en-US" w:eastAsia="zh-CN" w:bidi="ar-SA"/>
        </w:rPr>
        <w:t xml:space="preserve"> 支持旅游企业创优评级</w:t>
      </w:r>
      <w:bookmarkEnd w:id="1825"/>
      <w:bookmarkEnd w:id="1826"/>
      <w:bookmarkEnd w:id="1827"/>
      <w:bookmarkEnd w:id="1828"/>
    </w:p>
    <w:p>
      <w:pPr>
        <w:keepNext w:val="0"/>
        <w:keepLines w:val="0"/>
        <w:pageBreakBefore w:val="0"/>
        <w:widowControl w:val="0"/>
        <w:numPr>
          <w:ilvl w:val="0"/>
          <w:numId w:val="5"/>
        </w:numPr>
        <w:kinsoku/>
        <w:wordWrap/>
        <w:overflowPunct/>
        <w:topLinePunct w:val="0"/>
        <w:autoSpaceDN w:val="0"/>
        <w:bidi w:val="0"/>
        <w:spacing w:beforeAutospacing="0" w:afterAutospacing="0" w:line="560" w:lineRule="exact"/>
        <w:ind w:left="0" w:leftChars="0" w:firstLine="640" w:firstLineChars="200"/>
        <w:rPr>
          <w:rFonts w:ascii="仿宋_GB2312" w:hAnsi="仿宋_GB2312" w:cs="仿宋_GB2312"/>
          <w:color w:val="auto"/>
          <w:szCs w:val="32"/>
          <w:highlight w:val="none"/>
        </w:rPr>
      </w:pPr>
      <w:r>
        <w:rPr>
          <w:rFonts w:hint="eastAsia" w:ascii="仿宋_GB2312" w:hAnsi="仿宋_GB2312" w:cs="仿宋_GB2312"/>
          <w:color w:val="auto"/>
          <w:szCs w:val="32"/>
          <w:highlight w:val="none"/>
        </w:rPr>
        <w:t>对获评为国家５Ａ、４Ａ、３Ａ级旅游景区的单位，分别给予</w:t>
      </w:r>
      <w:r>
        <w:rPr>
          <w:rFonts w:ascii="仿宋_GB2312" w:hAnsi="仿宋_GB2312" w:cs="仿宋_GB2312"/>
          <w:color w:val="auto"/>
          <w:szCs w:val="32"/>
          <w:highlight w:val="none"/>
        </w:rPr>
        <w:t>300万元、200万元、100万元一次性奖励；</w:t>
      </w:r>
    </w:p>
    <w:p>
      <w:pPr>
        <w:keepNext w:val="0"/>
        <w:keepLines w:val="0"/>
        <w:pageBreakBefore w:val="0"/>
        <w:widowControl w:val="0"/>
        <w:numPr>
          <w:ilvl w:val="0"/>
          <w:numId w:val="5"/>
        </w:numPr>
        <w:kinsoku/>
        <w:wordWrap/>
        <w:overflowPunct/>
        <w:topLinePunct w:val="0"/>
        <w:autoSpaceDN w:val="0"/>
        <w:bidi w:val="0"/>
        <w:spacing w:beforeAutospacing="0" w:afterAutospacing="0" w:line="560" w:lineRule="exact"/>
        <w:ind w:left="0" w:leftChars="0" w:firstLine="640" w:firstLineChars="200"/>
        <w:rPr>
          <w:rFonts w:ascii="仿宋_GB2312" w:hAnsi="仿宋_GB2312" w:cs="仿宋_GB2312"/>
          <w:color w:val="auto"/>
          <w:szCs w:val="32"/>
          <w:highlight w:val="none"/>
        </w:rPr>
      </w:pPr>
      <w:r>
        <w:rPr>
          <w:rFonts w:hint="eastAsia" w:ascii="仿宋_GB2312" w:hAnsi="仿宋_GB2312" w:cs="仿宋_GB2312"/>
          <w:color w:val="auto"/>
          <w:szCs w:val="32"/>
          <w:highlight w:val="none"/>
        </w:rPr>
        <w:t>对获得五星、四星级酒店评定的单位，分别给予</w:t>
      </w:r>
      <w:r>
        <w:rPr>
          <w:rFonts w:ascii="仿宋_GB2312" w:hAnsi="仿宋_GB2312" w:cs="仿宋_GB2312"/>
          <w:color w:val="auto"/>
          <w:szCs w:val="32"/>
          <w:highlight w:val="none"/>
        </w:rPr>
        <w:t>300万元、200万元一次性奖励；</w:t>
      </w:r>
    </w:p>
    <w:p>
      <w:pPr>
        <w:keepNext w:val="0"/>
        <w:keepLines w:val="0"/>
        <w:pageBreakBefore w:val="0"/>
        <w:widowControl w:val="0"/>
        <w:numPr>
          <w:ilvl w:val="0"/>
          <w:numId w:val="5"/>
        </w:numPr>
        <w:kinsoku/>
        <w:wordWrap/>
        <w:overflowPunct/>
        <w:topLinePunct w:val="0"/>
        <w:autoSpaceDN w:val="0"/>
        <w:bidi w:val="0"/>
        <w:spacing w:beforeAutospacing="0" w:afterAutospacing="0" w:line="560" w:lineRule="exact"/>
        <w:ind w:left="0" w:leftChars="0" w:firstLine="640" w:firstLineChars="200"/>
        <w:rPr>
          <w:rFonts w:ascii="仿宋_GB2312" w:hAnsi="仿宋_GB2312" w:cs="仿宋_GB2312"/>
          <w:color w:val="auto"/>
          <w:szCs w:val="32"/>
          <w:highlight w:val="none"/>
        </w:rPr>
      </w:pPr>
      <w:r>
        <w:rPr>
          <w:rFonts w:hint="eastAsia" w:ascii="仿宋_GB2312" w:hAnsi="仿宋_GB2312" w:cs="仿宋_GB2312"/>
          <w:color w:val="auto"/>
          <w:szCs w:val="32"/>
          <w:highlight w:val="none"/>
        </w:rPr>
        <w:t>对获评为市级以上“平安景区”“绿色景区”“绿色饭店</w:t>
      </w:r>
      <w:r>
        <w:rPr>
          <w:rFonts w:ascii="仿宋_GB2312" w:hAnsi="仿宋_GB2312" w:cs="仿宋_GB2312"/>
          <w:color w:val="auto"/>
          <w:szCs w:val="32"/>
          <w:highlight w:val="none"/>
        </w:rPr>
        <w:t>/酒店”的单位，给予20万元一次性奖励；</w:t>
      </w:r>
    </w:p>
    <w:p>
      <w:pPr>
        <w:keepNext w:val="0"/>
        <w:keepLines w:val="0"/>
        <w:pageBreakBefore w:val="0"/>
        <w:widowControl w:val="0"/>
        <w:numPr>
          <w:ilvl w:val="0"/>
          <w:numId w:val="5"/>
        </w:numPr>
        <w:kinsoku/>
        <w:wordWrap/>
        <w:overflowPunct/>
        <w:topLinePunct w:val="0"/>
        <w:autoSpaceDN w:val="0"/>
        <w:bidi w:val="0"/>
        <w:spacing w:beforeAutospacing="0" w:afterAutospacing="0" w:line="560" w:lineRule="exact"/>
        <w:ind w:left="0" w:leftChars="0" w:firstLine="640" w:firstLineChars="200"/>
        <w:rPr>
          <w:rFonts w:ascii="仿宋_GB2312" w:hAnsi="仿宋_GB2312" w:cs="仿宋_GB2312"/>
          <w:color w:val="auto"/>
          <w:szCs w:val="32"/>
          <w:highlight w:val="none"/>
        </w:rPr>
      </w:pPr>
      <w:r>
        <w:rPr>
          <w:rFonts w:hint="eastAsia" w:ascii="仿宋_GB2312" w:hAnsi="仿宋_GB2312" w:cs="仿宋_GB2312"/>
          <w:color w:val="auto"/>
          <w:szCs w:val="32"/>
          <w:highlight w:val="none"/>
        </w:rPr>
        <w:t>对获评为国家“百强旅行社”、省“百强旅行社”、市“旅行社二十强”的单位，分别给予</w:t>
      </w:r>
      <w:r>
        <w:rPr>
          <w:rFonts w:ascii="仿宋_GB2312" w:hAnsi="仿宋_GB2312" w:cs="仿宋_GB2312"/>
          <w:color w:val="auto"/>
          <w:szCs w:val="32"/>
          <w:highlight w:val="none"/>
        </w:rPr>
        <w:t>50万元、40万元、30万元一次性奖励；</w:t>
      </w:r>
    </w:p>
    <w:p>
      <w:pPr>
        <w:keepNext w:val="0"/>
        <w:keepLines w:val="0"/>
        <w:pageBreakBefore w:val="0"/>
        <w:widowControl w:val="0"/>
        <w:numPr>
          <w:ilvl w:val="0"/>
          <w:numId w:val="5"/>
        </w:numPr>
        <w:kinsoku/>
        <w:wordWrap/>
        <w:overflowPunct/>
        <w:topLinePunct w:val="0"/>
        <w:autoSpaceDN w:val="0"/>
        <w:bidi w:val="0"/>
        <w:spacing w:beforeAutospacing="0" w:afterAutospacing="0" w:line="560" w:lineRule="exact"/>
        <w:ind w:left="0" w:leftChars="0" w:firstLine="640" w:firstLineChars="200"/>
        <w:rPr>
          <w:rFonts w:ascii="仿宋_GB2312" w:hAnsi="仿宋_GB2312" w:cs="仿宋_GB2312"/>
          <w:color w:val="auto"/>
          <w:szCs w:val="32"/>
          <w:highlight w:val="none"/>
        </w:rPr>
      </w:pPr>
      <w:r>
        <w:rPr>
          <w:rFonts w:hint="eastAsia" w:ascii="仿宋_GB2312" w:hAnsi="仿宋_GB2312" w:cs="仿宋_GB2312"/>
          <w:color w:val="auto"/>
          <w:szCs w:val="32"/>
          <w:highlight w:val="none"/>
        </w:rPr>
        <w:t>对获得国家、省、市级旅游主管部门或其主管部门授权的行业组织评定为“工业旅游景点（含示范点、示范基地）”的单位，分别给予</w:t>
      </w:r>
      <w:r>
        <w:rPr>
          <w:rFonts w:ascii="仿宋_GB2312" w:hAnsi="仿宋_GB2312" w:cs="仿宋_GB2312"/>
          <w:color w:val="auto"/>
          <w:szCs w:val="32"/>
          <w:highlight w:val="none"/>
        </w:rPr>
        <w:t>50万元、40万元、30万元一次性奖励</w:t>
      </w:r>
      <w:r>
        <w:rPr>
          <w:rFonts w:hint="eastAsia" w:ascii="仿宋_GB2312" w:hAnsi="仿宋_GB2312" w:cs="仿宋_GB2312"/>
          <w:color w:val="auto"/>
          <w:szCs w:val="32"/>
          <w:highlight w:val="none"/>
        </w:rPr>
        <w:t>。</w:t>
      </w:r>
    </w:p>
    <w:p>
      <w:pPr>
        <w:keepNext w:val="0"/>
        <w:keepLines w:val="0"/>
        <w:pageBreakBefore w:val="0"/>
        <w:widowControl w:val="0"/>
        <w:kinsoku/>
        <w:wordWrap/>
        <w:overflowPunct/>
        <w:topLinePunct w:val="0"/>
        <w:bidi w:val="0"/>
        <w:spacing w:beforeAutospacing="0" w:afterAutospacing="0" w:line="560" w:lineRule="exact"/>
        <w:ind w:left="0" w:leftChars="0" w:firstLine="643" w:firstLineChars="200"/>
        <w:rPr>
          <w:rFonts w:eastAsia="楷体_GB2312" w:asciiTheme="majorHAnsi" w:hAnsiTheme="majorHAnsi" w:cstheme="majorBidi"/>
          <w:b/>
          <w:bCs/>
          <w:kern w:val="2"/>
          <w:sz w:val="32"/>
          <w:szCs w:val="32"/>
          <w:u w:val="none"/>
          <w:lang w:val="en-US" w:eastAsia="zh-CN" w:bidi="ar-SA"/>
        </w:rPr>
      </w:pPr>
      <w:bookmarkStart w:id="1835" w:name="_Toc5388"/>
      <w:bookmarkStart w:id="1836" w:name="_Toc5250"/>
      <w:bookmarkStart w:id="1837" w:name="_Toc21383"/>
      <w:bookmarkStart w:id="1838" w:name="_Toc11382"/>
      <w:bookmarkStart w:id="1839" w:name="_Toc16355"/>
      <w:r>
        <w:rPr>
          <w:rFonts w:hint="default" w:eastAsia="楷体_GB2312" w:asciiTheme="majorHAnsi" w:hAnsiTheme="majorHAnsi" w:cstheme="majorBidi"/>
          <w:b/>
          <w:bCs/>
          <w:kern w:val="2"/>
          <w:sz w:val="32"/>
          <w:szCs w:val="32"/>
          <w:u w:val="none"/>
          <w:lang w:val="en-US" w:eastAsia="zh-CN" w:bidi="ar-SA"/>
        </w:rPr>
        <w:t xml:space="preserve">第十九条 </w:t>
      </w:r>
      <w:bookmarkStart w:id="1840" w:name="_Toc2736"/>
      <w:r>
        <w:rPr>
          <w:rFonts w:hint="default" w:eastAsia="楷体_GB2312" w:asciiTheme="majorHAnsi" w:hAnsiTheme="majorHAnsi" w:cstheme="majorBidi"/>
          <w:b/>
          <w:bCs/>
          <w:kern w:val="2"/>
          <w:sz w:val="32"/>
          <w:szCs w:val="32"/>
          <w:u w:val="none"/>
          <w:lang w:val="en-US" w:eastAsia="zh-CN" w:bidi="ar-SA"/>
        </w:rPr>
        <w:t xml:space="preserve"> 鼓励旅游企业提高核心吸引力</w:t>
      </w:r>
      <w:bookmarkEnd w:id="1835"/>
      <w:bookmarkEnd w:id="1836"/>
      <w:bookmarkEnd w:id="1837"/>
      <w:bookmarkEnd w:id="1838"/>
      <w:bookmarkEnd w:id="1839"/>
      <w:bookmarkEnd w:id="1840"/>
    </w:p>
    <w:p>
      <w:pPr>
        <w:keepNext w:val="0"/>
        <w:keepLines w:val="0"/>
        <w:pageBreakBefore w:val="0"/>
        <w:widowControl w:val="0"/>
        <w:kinsoku/>
        <w:wordWrap/>
        <w:overflowPunct/>
        <w:topLinePunct w:val="0"/>
        <w:autoSpaceDN w:val="0"/>
        <w:bidi w:val="0"/>
        <w:spacing w:beforeAutospacing="0" w:afterAutospacing="0" w:line="560" w:lineRule="exact"/>
        <w:ind w:left="0" w:leftChars="0" w:firstLine="640" w:firstLineChars="200"/>
        <w:rPr>
          <w:rFonts w:ascii="仿宋_GB2312" w:hAnsi="仿宋_GB2312" w:cs="仿宋_GB2312"/>
          <w:color w:val="auto"/>
          <w:szCs w:val="32"/>
          <w:highlight w:val="none"/>
        </w:rPr>
      </w:pPr>
      <w:r>
        <w:rPr>
          <w:rFonts w:hint="eastAsia" w:ascii="仿宋_GB2312" w:hAnsi="仿宋_GB2312" w:cs="仿宋_GB2312"/>
          <w:color w:val="auto"/>
          <w:szCs w:val="32"/>
          <w:highlight w:val="none"/>
        </w:rPr>
        <w:t>（一）鼓励挖掘特色旅游项目资助。鼓励企业挖掘滨海、文化、科技、休闲等旅游资源，投资建设新的特色旅游项目。对在深圳市或更大范围有较大影响力、创新特色显著、示范意义突出的新旅游项目，根据特色旅游项目投资情况，按照不超过企业支付的</w:t>
      </w:r>
      <w:r>
        <w:rPr>
          <w:rFonts w:ascii="仿宋_GB2312" w:hAnsi="仿宋_GB2312" w:cs="仿宋_GB2312"/>
          <w:color w:val="auto"/>
          <w:szCs w:val="32"/>
          <w:highlight w:val="none"/>
        </w:rPr>
        <w:t>15%对投资企业给予资助，</w:t>
      </w:r>
      <w:r>
        <w:rPr>
          <w:rFonts w:hint="eastAsia" w:ascii="仿宋_GB2312" w:hAnsi="仿宋_GB2312" w:cs="仿宋_GB2312"/>
          <w:color w:val="auto"/>
          <w:szCs w:val="32"/>
          <w:highlight w:val="none"/>
        </w:rPr>
        <w:t>每家企业</w:t>
      </w:r>
      <w:r>
        <w:rPr>
          <w:rFonts w:ascii="仿宋_GB2312" w:hAnsi="仿宋_GB2312" w:cs="仿宋_GB2312"/>
          <w:color w:val="auto"/>
          <w:szCs w:val="32"/>
          <w:highlight w:val="none"/>
        </w:rPr>
        <w:t>最高不超过300万元。</w:t>
      </w:r>
    </w:p>
    <w:p>
      <w:pPr>
        <w:keepNext w:val="0"/>
        <w:keepLines w:val="0"/>
        <w:pageBreakBefore w:val="0"/>
        <w:widowControl w:val="0"/>
        <w:kinsoku/>
        <w:wordWrap/>
        <w:overflowPunct/>
        <w:topLinePunct w:val="0"/>
        <w:autoSpaceDN w:val="0"/>
        <w:bidi w:val="0"/>
        <w:spacing w:beforeAutospacing="0" w:afterAutospacing="0" w:line="560" w:lineRule="exact"/>
        <w:ind w:left="0" w:leftChars="0" w:firstLine="640" w:firstLineChars="200"/>
        <w:rPr>
          <w:rFonts w:ascii="仿宋_GB2312" w:hAnsi="仿宋_GB2312" w:cs="仿宋_GB2312"/>
          <w:color w:val="auto"/>
          <w:szCs w:val="32"/>
          <w:highlight w:val="none"/>
        </w:rPr>
      </w:pPr>
      <w:r>
        <w:rPr>
          <w:rFonts w:hint="eastAsia" w:ascii="仿宋_GB2312" w:hAnsi="仿宋_GB2312" w:cs="仿宋_GB2312"/>
          <w:color w:val="auto"/>
          <w:szCs w:val="32"/>
          <w:highlight w:val="none"/>
        </w:rPr>
        <w:t>（二）旅游项目升级完善等资助。支持国家</w:t>
      </w:r>
      <w:r>
        <w:rPr>
          <w:rFonts w:ascii="仿宋_GB2312" w:hAnsi="仿宋_GB2312" w:cs="仿宋_GB2312"/>
          <w:color w:val="auto"/>
          <w:szCs w:val="32"/>
          <w:highlight w:val="none"/>
        </w:rPr>
        <w:t>A级旅游景区、旅游星级酒店、邮轮游艇运营等旅游相关企业开发新项目和新景点，升级改造旅游相关设备设施，按照不超过</w:t>
      </w:r>
      <w:r>
        <w:rPr>
          <w:rFonts w:hint="eastAsia" w:ascii="仿宋_GB2312" w:hAnsi="仿宋_GB2312" w:cs="仿宋_GB2312"/>
          <w:color w:val="auto"/>
          <w:szCs w:val="32"/>
          <w:highlight w:val="none"/>
        </w:rPr>
        <w:t>企业支付的</w:t>
      </w:r>
      <w:r>
        <w:rPr>
          <w:rFonts w:ascii="仿宋_GB2312" w:hAnsi="仿宋_GB2312" w:cs="仿宋_GB2312"/>
          <w:color w:val="auto"/>
          <w:szCs w:val="32"/>
          <w:highlight w:val="none"/>
        </w:rPr>
        <w:t>15%给予资助，每家企业每年最高不超过150万元。</w:t>
      </w:r>
    </w:p>
    <w:p>
      <w:pPr>
        <w:keepNext w:val="0"/>
        <w:keepLines w:val="0"/>
        <w:pageBreakBefore w:val="0"/>
        <w:widowControl w:val="0"/>
        <w:kinsoku/>
        <w:wordWrap/>
        <w:overflowPunct/>
        <w:topLinePunct w:val="0"/>
        <w:autoSpaceDN w:val="0"/>
        <w:bidi w:val="0"/>
        <w:spacing w:beforeAutospacing="0" w:afterAutospacing="0" w:line="560" w:lineRule="exact"/>
        <w:ind w:left="0" w:leftChars="0" w:firstLine="640" w:firstLineChars="200"/>
        <w:rPr>
          <w:rFonts w:ascii="仿宋_GB2312" w:hAnsi="仿宋_GB2312" w:cs="仿宋_GB2312"/>
          <w:color w:val="auto"/>
          <w:szCs w:val="32"/>
          <w:highlight w:val="none"/>
        </w:rPr>
      </w:pPr>
      <w:r>
        <w:rPr>
          <w:rFonts w:hint="eastAsia" w:ascii="仿宋_GB2312" w:hAnsi="仿宋_GB2312" w:cs="仿宋_GB2312"/>
          <w:color w:val="auto"/>
          <w:szCs w:val="32"/>
          <w:highlight w:val="none"/>
        </w:rPr>
        <w:t>（三）鼓励企业发展工业旅游。鼓励企业发展工业旅游，提升企业品牌。支持我区具备条件的企业发展工业旅游项目，对辖区内经国家、省、市旅游主管部门组织评定的南山区“工业旅游景点”“工业旅游示范点”“工业旅游示范基地”，根据接待设施、硬件升级改造投资情况，按照不超过企业支付的</w:t>
      </w:r>
      <w:r>
        <w:rPr>
          <w:rFonts w:ascii="仿宋_GB2312" w:hAnsi="仿宋_GB2312" w:cs="仿宋_GB2312"/>
          <w:color w:val="auto"/>
          <w:szCs w:val="32"/>
          <w:highlight w:val="none"/>
        </w:rPr>
        <w:t>50%给予资助，每家企业每年最高不超过20万元。</w:t>
      </w:r>
    </w:p>
    <w:p>
      <w:pPr>
        <w:keepNext w:val="0"/>
        <w:keepLines w:val="0"/>
        <w:pageBreakBefore w:val="0"/>
        <w:widowControl w:val="0"/>
        <w:kinsoku/>
        <w:wordWrap/>
        <w:overflowPunct/>
        <w:topLinePunct w:val="0"/>
        <w:autoSpaceDN w:val="0"/>
        <w:bidi w:val="0"/>
        <w:spacing w:beforeAutospacing="0" w:afterAutospacing="0" w:line="560" w:lineRule="exact"/>
        <w:ind w:left="0" w:leftChars="0" w:firstLine="640" w:firstLineChars="200"/>
        <w:rPr>
          <w:rFonts w:ascii="仿宋_GB2312" w:hAnsi="仿宋_GB2312" w:cs="仿宋_GB2312"/>
          <w:color w:val="auto"/>
          <w:szCs w:val="32"/>
          <w:highlight w:val="none"/>
        </w:rPr>
      </w:pPr>
      <w:r>
        <w:rPr>
          <w:rFonts w:hint="eastAsia" w:ascii="仿宋_GB2312" w:hAnsi="仿宋_GB2312" w:cs="仿宋_GB2312"/>
          <w:color w:val="auto"/>
          <w:szCs w:val="32"/>
          <w:highlight w:val="none"/>
        </w:rPr>
        <w:t>（四）支持邮轮旅游发展。对注册在南山区且在辖区内开展邮轮港口业务的码头公司，引入邮轮停靠在南山区的游轮母港，按照不超过</w:t>
      </w:r>
      <w:r>
        <w:rPr>
          <w:rFonts w:ascii="仿宋_GB2312" w:hAnsi="仿宋_GB2312" w:cs="仿宋_GB2312"/>
          <w:color w:val="auto"/>
          <w:szCs w:val="32"/>
          <w:highlight w:val="none"/>
        </w:rPr>
        <w:t>1元/净吨/航次的标准给予支持，邮轮载客进、出港各一次视为一航次。每家企业每年最高不超过150万元。</w:t>
      </w:r>
    </w:p>
    <w:p>
      <w:pPr>
        <w:keepNext w:val="0"/>
        <w:keepLines w:val="0"/>
        <w:pageBreakBefore w:val="0"/>
        <w:widowControl w:val="0"/>
        <w:kinsoku/>
        <w:wordWrap/>
        <w:overflowPunct/>
        <w:topLinePunct w:val="0"/>
        <w:autoSpaceDN w:val="0"/>
        <w:bidi w:val="0"/>
        <w:spacing w:beforeAutospacing="0" w:afterAutospacing="0" w:line="560" w:lineRule="exact"/>
        <w:ind w:left="0" w:leftChars="0" w:firstLine="640" w:firstLineChars="200"/>
        <w:rPr>
          <w:rFonts w:ascii="仿宋_GB2312" w:hAnsi="仿宋_GB2312" w:cs="仿宋_GB2312"/>
          <w:color w:val="auto"/>
          <w:szCs w:val="32"/>
          <w:highlight w:val="none"/>
        </w:rPr>
      </w:pPr>
      <w:r>
        <w:rPr>
          <w:rFonts w:hint="eastAsia" w:ascii="仿宋_GB2312" w:hAnsi="仿宋_GB2312" w:cs="仿宋_GB2312"/>
          <w:color w:val="auto"/>
          <w:szCs w:val="32"/>
          <w:highlight w:val="none"/>
        </w:rPr>
        <w:t>（五）支持旅行社组织港澳游客开展南山历史文化游。支持在南山区注册、经营的旅行社，组织港澳游客进行南山历史文化游，按照每人50元的标准给予支持，每家企业每年最高不超过50万元。</w:t>
      </w:r>
    </w:p>
    <w:p>
      <w:pPr>
        <w:keepNext w:val="0"/>
        <w:keepLines w:val="0"/>
        <w:pageBreakBefore w:val="0"/>
        <w:widowControl w:val="0"/>
        <w:kinsoku/>
        <w:wordWrap/>
        <w:overflowPunct/>
        <w:topLinePunct w:val="0"/>
        <w:bidi w:val="0"/>
        <w:spacing w:beforeAutospacing="0" w:afterAutospacing="0" w:line="560" w:lineRule="exact"/>
        <w:ind w:left="0" w:leftChars="0" w:firstLine="643" w:firstLineChars="200"/>
        <w:rPr>
          <w:rFonts w:hint="default" w:eastAsia="楷体_GB2312" w:asciiTheme="majorHAnsi" w:hAnsiTheme="majorHAnsi" w:cstheme="majorBidi"/>
          <w:b/>
          <w:bCs/>
          <w:kern w:val="2"/>
          <w:sz w:val="32"/>
          <w:szCs w:val="32"/>
          <w:u w:val="none"/>
          <w:lang w:val="en-US" w:eastAsia="zh-CN" w:bidi="ar-SA"/>
        </w:rPr>
      </w:pPr>
      <w:bookmarkStart w:id="1841" w:name="_Toc32363"/>
      <w:bookmarkStart w:id="1842" w:name="_Toc30161"/>
      <w:bookmarkStart w:id="1843" w:name="_Toc17610"/>
      <w:bookmarkStart w:id="1844" w:name="_Toc21701"/>
      <w:bookmarkStart w:id="1845" w:name="_Toc30838"/>
      <w:r>
        <w:rPr>
          <w:rFonts w:hint="default" w:eastAsia="楷体_GB2312" w:asciiTheme="majorHAnsi" w:hAnsiTheme="majorHAnsi" w:cstheme="majorBidi"/>
          <w:b/>
          <w:bCs/>
          <w:kern w:val="2"/>
          <w:sz w:val="32"/>
          <w:szCs w:val="32"/>
          <w:u w:val="none"/>
          <w:lang w:val="en-US" w:eastAsia="zh-CN" w:bidi="ar-SA"/>
        </w:rPr>
        <w:t>第二十条  支持举办主题旅游推广活动</w:t>
      </w:r>
      <w:bookmarkEnd w:id="1841"/>
      <w:bookmarkEnd w:id="1842"/>
      <w:bookmarkEnd w:id="1843"/>
      <w:bookmarkEnd w:id="1844"/>
      <w:bookmarkEnd w:id="1845"/>
    </w:p>
    <w:p>
      <w:pPr>
        <w:keepNext w:val="0"/>
        <w:keepLines w:val="0"/>
        <w:pageBreakBefore w:val="0"/>
        <w:widowControl w:val="0"/>
        <w:kinsoku/>
        <w:wordWrap/>
        <w:overflowPunct/>
        <w:topLinePunct w:val="0"/>
        <w:bidi w:val="0"/>
        <w:spacing w:beforeAutospacing="0" w:afterAutospacing="0" w:line="560" w:lineRule="exact"/>
        <w:ind w:left="0" w:leftChars="0" w:firstLine="640" w:firstLineChars="200"/>
        <w:rPr>
          <w:rFonts w:ascii="仿宋_GB2312" w:hAnsi="仿宋_GB2312" w:cs="仿宋_GB2312"/>
          <w:color w:val="auto"/>
          <w:szCs w:val="32"/>
          <w:highlight w:val="none"/>
        </w:rPr>
      </w:pPr>
      <w:r>
        <w:rPr>
          <w:rFonts w:hint="eastAsia" w:ascii="仿宋_GB2312" w:hAnsi="仿宋_GB2312" w:eastAsia="仿宋_GB2312" w:cs="仿宋_GB2312"/>
          <w:b w:val="0"/>
          <w:bCs w:val="0"/>
          <w:color w:val="auto"/>
          <w:kern w:val="2"/>
          <w:sz w:val="32"/>
          <w:szCs w:val="32"/>
          <w:highlight w:val="none"/>
          <w:lang w:val="en-US" w:eastAsia="zh-CN" w:bidi="ar-SA"/>
        </w:rPr>
        <w:t>支持A级旅游景区、邮轮旅游运营企业举办主题旅游推广活动，增强景区吸引力、宣传推广邮轮旅游。对A级景区、邮轮旅游运营企业委托报刊、广播电视、户外媒体、互联网等社会媒体进行主题旅游活动的宣传推广，按照不超过宣传推广费用支付的50%给予资助。每家企业每年可申报一次，每年资助金额最高不超过50万元。</w:t>
      </w:r>
    </w:p>
    <w:bookmarkEnd w:id="1829"/>
    <w:bookmarkEnd w:id="1830"/>
    <w:bookmarkEnd w:id="1831"/>
    <w:bookmarkEnd w:id="1832"/>
    <w:bookmarkEnd w:id="1833"/>
    <w:bookmarkEnd w:id="1834"/>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firstLine="0"/>
        <w:textAlignment w:val="auto"/>
        <w:rPr>
          <w:color w:val="auto"/>
          <w:highlight w:val="none"/>
        </w:rPr>
      </w:pPr>
      <w:bookmarkStart w:id="1846" w:name="_Toc21271"/>
      <w:bookmarkStart w:id="1847" w:name="_Toc69913894"/>
      <w:bookmarkStart w:id="1848" w:name="_Toc20960"/>
      <w:bookmarkStart w:id="1849" w:name="_Toc31159"/>
      <w:bookmarkStart w:id="1850" w:name="_Toc23371"/>
      <w:bookmarkStart w:id="1851" w:name="_Toc3244"/>
      <w:bookmarkStart w:id="1852" w:name="_Toc2446"/>
      <w:bookmarkStart w:id="1853" w:name="_Toc16561"/>
      <w:bookmarkStart w:id="1854" w:name="_Toc30431"/>
      <w:bookmarkStart w:id="1855" w:name="_Toc12935"/>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firstLine="0"/>
        <w:textAlignment w:val="auto"/>
        <w:rPr>
          <w:b/>
          <w:color w:val="auto"/>
          <w:highlight w:val="none"/>
        </w:rPr>
      </w:pPr>
      <w:r>
        <w:rPr>
          <w:rFonts w:hint="eastAsia"/>
          <w:color w:val="auto"/>
          <w:highlight w:val="none"/>
          <w:u w:val="none"/>
        </w:rPr>
        <w:t>第</w:t>
      </w:r>
      <w:r>
        <w:rPr>
          <w:rFonts w:hint="eastAsia"/>
          <w:color w:val="auto"/>
          <w:highlight w:val="none"/>
        </w:rPr>
        <w:t>七</w:t>
      </w:r>
      <w:r>
        <w:rPr>
          <w:rFonts w:hint="eastAsia"/>
          <w:color w:val="auto"/>
          <w:highlight w:val="none"/>
          <w:u w:val="none"/>
        </w:rPr>
        <w:t>章</w:t>
      </w:r>
      <w:r>
        <w:rPr>
          <w:color w:val="auto"/>
          <w:highlight w:val="none"/>
          <w:u w:val="none"/>
        </w:rPr>
        <w:t xml:space="preserve"> </w:t>
      </w:r>
      <w:r>
        <w:rPr>
          <w:rFonts w:hint="eastAsia"/>
          <w:color w:val="auto"/>
          <w:highlight w:val="none"/>
          <w:u w:val="none"/>
          <w:lang w:val="en-US" w:eastAsia="zh-CN"/>
        </w:rPr>
        <w:t xml:space="preserve"> </w:t>
      </w:r>
      <w:r>
        <w:rPr>
          <w:rFonts w:hint="eastAsia"/>
          <w:color w:val="auto"/>
          <w:highlight w:val="none"/>
        </w:rPr>
        <w:t>支持</w:t>
      </w:r>
      <w:r>
        <w:rPr>
          <w:rFonts w:hint="eastAsia"/>
          <w:color w:val="auto"/>
          <w:highlight w:val="none"/>
          <w:u w:val="none"/>
        </w:rPr>
        <w:t>文化、体育与科技融合</w:t>
      </w:r>
      <w:bookmarkEnd w:id="1846"/>
      <w:bookmarkEnd w:id="1847"/>
      <w:r>
        <w:rPr>
          <w:rFonts w:hint="eastAsia"/>
          <w:color w:val="auto"/>
          <w:highlight w:val="none"/>
        </w:rPr>
        <w:t>发展</w:t>
      </w:r>
      <w:bookmarkEnd w:id="1848"/>
      <w:bookmarkEnd w:id="1849"/>
      <w:bookmarkEnd w:id="1850"/>
      <w:bookmarkEnd w:id="1851"/>
      <w:bookmarkEnd w:id="1852"/>
      <w:bookmarkEnd w:id="1853"/>
      <w:bookmarkEnd w:id="1854"/>
      <w:bookmarkEnd w:id="1855"/>
    </w:p>
    <w:p>
      <w:pPr>
        <w:pStyle w:val="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firstLine="640"/>
        <w:textAlignment w:val="auto"/>
        <w:rPr>
          <w:rFonts w:hint="eastAsia"/>
          <w:b/>
          <w:bCs w:val="0"/>
          <w:color w:val="auto"/>
          <w:highlight w:val="none"/>
          <w:u w:val="none"/>
        </w:rPr>
      </w:pPr>
      <w:bookmarkStart w:id="1856" w:name="_Toc4504"/>
      <w:bookmarkStart w:id="1857" w:name="_Toc69913895"/>
      <w:bookmarkStart w:id="1858" w:name="_Toc27485"/>
      <w:bookmarkStart w:id="1859" w:name="_Toc28637"/>
      <w:bookmarkStart w:id="1860" w:name="_Toc26216"/>
      <w:bookmarkStart w:id="1861" w:name="_Toc6073"/>
      <w:bookmarkStart w:id="1862" w:name="_Toc6915"/>
      <w:bookmarkStart w:id="1863" w:name="_Toc19592"/>
      <w:bookmarkStart w:id="1864" w:name="_Toc20985"/>
      <w:bookmarkStart w:id="1865" w:name="_Toc13268"/>
    </w:p>
    <w:p>
      <w:pPr>
        <w:keepNext w:val="0"/>
        <w:keepLines w:val="0"/>
        <w:pageBreakBefore w:val="0"/>
        <w:widowControl w:val="0"/>
        <w:kinsoku/>
        <w:wordWrap/>
        <w:overflowPunct/>
        <w:topLinePunct w:val="0"/>
        <w:bidi w:val="0"/>
        <w:spacing w:beforeAutospacing="0" w:afterAutospacing="0" w:line="560" w:lineRule="exact"/>
        <w:ind w:left="0" w:leftChars="0" w:firstLine="643"/>
        <w:rPr>
          <w:rFonts w:eastAsia="楷体_GB2312" w:asciiTheme="majorHAnsi" w:hAnsiTheme="majorHAnsi" w:cstheme="majorBidi"/>
          <w:b/>
          <w:bCs w:val="0"/>
          <w:kern w:val="2"/>
          <w:sz w:val="32"/>
          <w:szCs w:val="32"/>
          <w:u w:val="none"/>
          <w:lang w:val="en-US" w:eastAsia="zh-CN" w:bidi="ar-SA"/>
        </w:rPr>
      </w:pPr>
      <w:r>
        <w:rPr>
          <w:rFonts w:hint="default" w:eastAsia="楷体_GB2312" w:asciiTheme="majorHAnsi" w:hAnsiTheme="majorHAnsi" w:cstheme="majorBidi"/>
          <w:b/>
          <w:bCs w:val="0"/>
          <w:kern w:val="2"/>
          <w:sz w:val="32"/>
          <w:szCs w:val="32"/>
          <w:lang w:val="en-US" w:eastAsia="zh-CN" w:bidi="ar-SA"/>
        </w:rPr>
        <w:t>第二十</w:t>
      </w:r>
      <w:r>
        <w:rPr>
          <w:rFonts w:hint="default" w:eastAsia="楷体_GB2312" w:asciiTheme="majorHAnsi" w:hAnsiTheme="majorHAnsi" w:cstheme="majorBidi"/>
          <w:b/>
          <w:bCs w:val="0"/>
          <w:kern w:val="2"/>
          <w:sz w:val="32"/>
          <w:szCs w:val="32"/>
          <w:u w:val="none"/>
          <w:lang w:val="en-US" w:eastAsia="zh-CN" w:bidi="ar-SA"/>
        </w:rPr>
        <w:t>一</w:t>
      </w:r>
      <w:r>
        <w:rPr>
          <w:rFonts w:hint="default" w:eastAsia="楷体_GB2312" w:asciiTheme="majorHAnsi" w:hAnsiTheme="majorHAnsi" w:cstheme="majorBidi"/>
          <w:b/>
          <w:bCs w:val="0"/>
          <w:kern w:val="2"/>
          <w:sz w:val="32"/>
          <w:szCs w:val="32"/>
          <w:lang w:val="en-US" w:eastAsia="zh-CN" w:bidi="ar-SA"/>
        </w:rPr>
        <w:t>条</w:t>
      </w:r>
      <w:r>
        <w:rPr>
          <w:rFonts w:eastAsia="楷体_GB2312" w:asciiTheme="majorHAnsi" w:hAnsiTheme="majorHAnsi" w:cstheme="majorBidi"/>
          <w:b/>
          <w:bCs w:val="0"/>
          <w:kern w:val="2"/>
          <w:sz w:val="32"/>
          <w:szCs w:val="32"/>
          <w:lang w:val="en-US" w:eastAsia="zh-CN" w:bidi="ar-SA"/>
        </w:rPr>
        <w:t xml:space="preserve"> </w:t>
      </w:r>
      <w:r>
        <w:rPr>
          <w:rFonts w:hint="default" w:eastAsia="楷体_GB2312" w:asciiTheme="majorHAnsi" w:hAnsiTheme="majorHAnsi" w:cstheme="majorBidi"/>
          <w:b/>
          <w:bCs w:val="0"/>
          <w:kern w:val="2"/>
          <w:sz w:val="32"/>
          <w:szCs w:val="32"/>
          <w:lang w:val="en-US" w:eastAsia="zh-CN" w:bidi="ar-SA"/>
        </w:rPr>
        <w:t xml:space="preserve"> 支持</w:t>
      </w:r>
      <w:bookmarkEnd w:id="1856"/>
      <w:bookmarkEnd w:id="1857"/>
      <w:bookmarkEnd w:id="1858"/>
      <w:bookmarkEnd w:id="1859"/>
      <w:bookmarkEnd w:id="1860"/>
      <w:r>
        <w:rPr>
          <w:rFonts w:hint="default" w:eastAsia="楷体_GB2312" w:asciiTheme="majorHAnsi" w:hAnsiTheme="majorHAnsi" w:cstheme="majorBidi"/>
          <w:b/>
          <w:bCs w:val="0"/>
          <w:kern w:val="2"/>
          <w:sz w:val="32"/>
          <w:szCs w:val="32"/>
          <w:u w:val="none"/>
          <w:lang w:val="en-US" w:eastAsia="zh-CN" w:bidi="ar-SA"/>
        </w:rPr>
        <w:t>企业主持或参与制定标准</w:t>
      </w:r>
      <w:bookmarkEnd w:id="1861"/>
      <w:bookmarkEnd w:id="1862"/>
      <w:bookmarkEnd w:id="1863"/>
      <w:bookmarkEnd w:id="1864"/>
      <w:bookmarkEnd w:id="1865"/>
    </w:p>
    <w:p>
      <w:pPr>
        <w:keepNext w:val="0"/>
        <w:keepLines w:val="0"/>
        <w:pageBreakBefore w:val="0"/>
        <w:widowControl w:val="0"/>
        <w:kinsoku/>
        <w:wordWrap/>
        <w:overflowPunct/>
        <w:topLinePunct w:val="0"/>
        <w:autoSpaceDN w:val="0"/>
        <w:bidi w:val="0"/>
        <w:spacing w:beforeAutospacing="0" w:afterAutospacing="0" w:line="560" w:lineRule="exact"/>
        <w:ind w:left="0" w:leftChars="0" w:firstLine="640" w:firstLineChars="200"/>
        <w:rPr>
          <w:bCs/>
          <w:color w:val="auto"/>
          <w:highlight w:val="none"/>
        </w:rPr>
      </w:pPr>
      <w:r>
        <w:rPr>
          <w:rFonts w:hint="eastAsia"/>
          <w:bCs/>
          <w:color w:val="auto"/>
          <w:highlight w:val="none"/>
          <w:u w:val="none"/>
        </w:rPr>
        <w:t>对主持或参与制定文化、体育相关国际</w:t>
      </w:r>
      <w:r>
        <w:rPr>
          <w:bCs/>
          <w:color w:val="auto"/>
          <w:highlight w:val="none"/>
          <w:u w:val="none"/>
        </w:rPr>
        <w:t>/</w:t>
      </w:r>
      <w:r>
        <w:rPr>
          <w:rFonts w:hint="eastAsia"/>
          <w:bCs/>
          <w:color w:val="auto"/>
          <w:highlight w:val="none"/>
          <w:u w:val="none"/>
        </w:rPr>
        <w:t>国家</w:t>
      </w:r>
      <w:r>
        <w:rPr>
          <w:bCs/>
          <w:color w:val="auto"/>
          <w:highlight w:val="none"/>
          <w:u w:val="none"/>
        </w:rPr>
        <w:t>/</w:t>
      </w:r>
      <w:r>
        <w:rPr>
          <w:rFonts w:hint="eastAsia"/>
          <w:bCs/>
          <w:color w:val="auto"/>
          <w:highlight w:val="none"/>
          <w:u w:val="none"/>
        </w:rPr>
        <w:t>行业标准，并正式发布的企事业单位</w:t>
      </w:r>
      <w:r>
        <w:rPr>
          <w:rFonts w:hint="eastAsia"/>
          <w:bCs/>
          <w:color w:val="auto"/>
          <w:highlight w:val="none"/>
        </w:rPr>
        <w:t>，按最高不超过</w:t>
      </w:r>
      <w:r>
        <w:rPr>
          <w:rFonts w:hint="eastAsia" w:ascii="仿宋_GB2312" w:hAnsi="仿宋_GB2312" w:cs="仿宋_GB2312"/>
          <w:bCs w:val="0"/>
          <w:color w:val="auto"/>
          <w:szCs w:val="32"/>
          <w:highlight w:val="none"/>
        </w:rPr>
        <w:t>50万</w:t>
      </w:r>
      <w:r>
        <w:rPr>
          <w:rFonts w:hint="eastAsia"/>
          <w:bCs/>
          <w:color w:val="auto"/>
          <w:highlight w:val="none"/>
        </w:rPr>
        <w:t>元给予奖励。</w:t>
      </w:r>
    </w:p>
    <w:p>
      <w:pPr>
        <w:keepNext w:val="0"/>
        <w:keepLines w:val="0"/>
        <w:pageBreakBefore w:val="0"/>
        <w:widowControl w:val="0"/>
        <w:kinsoku/>
        <w:wordWrap/>
        <w:overflowPunct/>
        <w:topLinePunct w:val="0"/>
        <w:bidi w:val="0"/>
        <w:spacing w:beforeAutospacing="0" w:afterAutospacing="0" w:line="560" w:lineRule="exact"/>
        <w:ind w:left="0" w:leftChars="0" w:firstLine="643"/>
        <w:rPr>
          <w:rFonts w:eastAsia="楷体_GB2312" w:asciiTheme="majorHAnsi" w:hAnsiTheme="majorHAnsi" w:cstheme="majorBidi"/>
          <w:b/>
          <w:bCs/>
          <w:kern w:val="2"/>
          <w:sz w:val="32"/>
          <w:szCs w:val="32"/>
          <w:lang w:val="en-US" w:eastAsia="zh-CN" w:bidi="ar-SA"/>
        </w:rPr>
      </w:pPr>
      <w:bookmarkStart w:id="1866" w:name="_Toc32091"/>
      <w:bookmarkStart w:id="1867" w:name="_Toc15511"/>
      <w:bookmarkStart w:id="1868" w:name="_Toc20502"/>
      <w:bookmarkStart w:id="1869" w:name="_Toc31290"/>
      <w:bookmarkStart w:id="1870" w:name="_Toc32519"/>
      <w:bookmarkStart w:id="1871" w:name="_Toc5492"/>
      <w:bookmarkStart w:id="1872" w:name="_Toc69913896"/>
      <w:bookmarkStart w:id="1873" w:name="_Toc15432"/>
      <w:bookmarkStart w:id="1874" w:name="_Toc23296"/>
      <w:r>
        <w:rPr>
          <w:rFonts w:hint="default" w:eastAsia="楷体_GB2312" w:asciiTheme="majorHAnsi" w:hAnsiTheme="majorHAnsi" w:cstheme="majorBidi"/>
          <w:b/>
          <w:bCs/>
          <w:kern w:val="2"/>
          <w:sz w:val="32"/>
          <w:szCs w:val="32"/>
          <w:u w:val="none"/>
          <w:lang w:val="en-US" w:eastAsia="zh-CN" w:bidi="ar-SA"/>
        </w:rPr>
        <w:t>第二十</w:t>
      </w:r>
      <w:r>
        <w:rPr>
          <w:rFonts w:hint="default" w:eastAsia="楷体_GB2312" w:asciiTheme="majorHAnsi" w:hAnsiTheme="majorHAnsi" w:cstheme="majorBidi"/>
          <w:b/>
          <w:bCs/>
          <w:kern w:val="2"/>
          <w:sz w:val="32"/>
          <w:szCs w:val="32"/>
          <w:lang w:val="en-US" w:eastAsia="zh-CN" w:bidi="ar-SA"/>
        </w:rPr>
        <w:t>二</w:t>
      </w:r>
      <w:r>
        <w:rPr>
          <w:rFonts w:hint="default" w:eastAsia="楷体_GB2312" w:asciiTheme="majorHAnsi" w:hAnsiTheme="majorHAnsi" w:cstheme="majorBidi"/>
          <w:b/>
          <w:bCs/>
          <w:kern w:val="2"/>
          <w:sz w:val="32"/>
          <w:szCs w:val="32"/>
          <w:u w:val="none"/>
          <w:lang w:val="en-US" w:eastAsia="zh-CN" w:bidi="ar-SA"/>
        </w:rPr>
        <w:t>条</w:t>
      </w:r>
      <w:r>
        <w:rPr>
          <w:rFonts w:eastAsia="楷体_GB2312" w:asciiTheme="majorHAnsi" w:hAnsiTheme="majorHAnsi" w:cstheme="majorBidi"/>
          <w:b/>
          <w:bCs/>
          <w:kern w:val="2"/>
          <w:sz w:val="32"/>
          <w:szCs w:val="32"/>
          <w:u w:val="none"/>
          <w:lang w:val="en-US" w:eastAsia="zh-CN" w:bidi="ar-SA"/>
        </w:rPr>
        <w:t xml:space="preserve"> </w:t>
      </w:r>
      <w:r>
        <w:rPr>
          <w:rFonts w:hint="default" w:eastAsia="楷体_GB2312" w:asciiTheme="majorHAnsi" w:hAnsiTheme="majorHAnsi" w:cstheme="majorBidi"/>
          <w:b/>
          <w:bCs/>
          <w:kern w:val="2"/>
          <w:sz w:val="32"/>
          <w:szCs w:val="32"/>
          <w:u w:val="none"/>
          <w:lang w:val="en-US" w:eastAsia="zh-CN" w:bidi="ar-SA"/>
        </w:rPr>
        <w:t xml:space="preserve"> 支持文化、体育和科技融合</w:t>
      </w:r>
      <w:r>
        <w:rPr>
          <w:rFonts w:hint="default" w:eastAsia="楷体_GB2312" w:asciiTheme="majorHAnsi" w:hAnsiTheme="majorHAnsi" w:cstheme="majorBidi"/>
          <w:b/>
          <w:bCs/>
          <w:kern w:val="2"/>
          <w:sz w:val="32"/>
          <w:szCs w:val="32"/>
          <w:lang w:val="en-US" w:eastAsia="zh-CN" w:bidi="ar-SA"/>
        </w:rPr>
        <w:t>研究平台</w:t>
      </w:r>
      <w:r>
        <w:rPr>
          <w:rFonts w:hint="default" w:eastAsia="楷体_GB2312" w:asciiTheme="majorHAnsi" w:hAnsiTheme="majorHAnsi" w:cstheme="majorBidi"/>
          <w:b/>
          <w:bCs/>
          <w:kern w:val="2"/>
          <w:sz w:val="32"/>
          <w:szCs w:val="32"/>
          <w:u w:val="none"/>
          <w:lang w:val="en-US" w:eastAsia="zh-CN" w:bidi="ar-SA"/>
        </w:rPr>
        <w:t>建设</w:t>
      </w:r>
      <w:bookmarkEnd w:id="1866"/>
      <w:bookmarkEnd w:id="1867"/>
      <w:bookmarkEnd w:id="1868"/>
      <w:bookmarkEnd w:id="1869"/>
      <w:bookmarkEnd w:id="1870"/>
      <w:bookmarkEnd w:id="1871"/>
      <w:bookmarkEnd w:id="1872"/>
      <w:bookmarkEnd w:id="1873"/>
      <w:bookmarkEnd w:id="1874"/>
    </w:p>
    <w:p>
      <w:pPr>
        <w:keepNext w:val="0"/>
        <w:keepLines w:val="0"/>
        <w:pageBreakBefore w:val="0"/>
        <w:widowControl w:val="0"/>
        <w:kinsoku/>
        <w:wordWrap/>
        <w:overflowPunct/>
        <w:topLinePunct w:val="0"/>
        <w:autoSpaceDN w:val="0"/>
        <w:bidi w:val="0"/>
        <w:spacing w:beforeAutospacing="0" w:afterAutospacing="0" w:line="560" w:lineRule="exact"/>
        <w:ind w:left="0" w:leftChars="0" w:firstLine="640" w:firstLineChars="200"/>
        <w:rPr>
          <w:bCs/>
          <w:color w:val="auto"/>
          <w:highlight w:val="none"/>
        </w:rPr>
      </w:pPr>
      <w:r>
        <w:rPr>
          <w:rFonts w:hint="eastAsia"/>
          <w:bCs/>
          <w:color w:val="auto"/>
          <w:highlight w:val="none"/>
        </w:rPr>
        <w:t>对企业与高校联合建立的经备案的实验室、研究平台等研究机构，按照最高不超过</w:t>
      </w:r>
      <w:r>
        <w:rPr>
          <w:rFonts w:ascii="仿宋_GB2312" w:hAnsi="仿宋_GB2312" w:eastAsia="仿宋_GB2312" w:cs="仿宋_GB2312"/>
          <w:bCs w:val="0"/>
          <w:color w:val="auto"/>
          <w:kern w:val="2"/>
          <w:sz w:val="32"/>
          <w:szCs w:val="32"/>
          <w:highlight w:val="none"/>
          <w:lang w:val="en-US" w:eastAsia="zh-CN" w:bidi="ar-SA"/>
        </w:rPr>
        <w:t>50</w:t>
      </w:r>
      <w:r>
        <w:rPr>
          <w:rFonts w:hint="eastAsia"/>
          <w:bCs/>
          <w:color w:val="auto"/>
          <w:highlight w:val="none"/>
        </w:rPr>
        <w:t>万元进行一次性奖励。</w:t>
      </w:r>
    </w:p>
    <w:p>
      <w:pPr>
        <w:keepNext w:val="0"/>
        <w:keepLines w:val="0"/>
        <w:pageBreakBefore w:val="0"/>
        <w:widowControl w:val="0"/>
        <w:kinsoku/>
        <w:wordWrap/>
        <w:overflowPunct/>
        <w:topLinePunct w:val="0"/>
        <w:bidi w:val="0"/>
        <w:spacing w:beforeAutospacing="0" w:afterAutospacing="0" w:line="560" w:lineRule="exact"/>
        <w:ind w:left="0" w:leftChars="0" w:firstLine="643"/>
        <w:rPr>
          <w:rFonts w:eastAsia="楷体_GB2312" w:asciiTheme="majorHAnsi" w:hAnsiTheme="majorHAnsi" w:cstheme="majorBidi"/>
          <w:b/>
          <w:bCs w:val="0"/>
          <w:kern w:val="2"/>
          <w:sz w:val="32"/>
          <w:szCs w:val="32"/>
          <w:u w:val="none"/>
          <w:lang w:val="en-US" w:eastAsia="zh-CN" w:bidi="ar-SA"/>
        </w:rPr>
      </w:pPr>
      <w:bookmarkStart w:id="1875" w:name="_Toc69913897"/>
      <w:bookmarkStart w:id="1876" w:name="_Toc12259"/>
      <w:bookmarkStart w:id="1877" w:name="_Toc6882"/>
      <w:bookmarkStart w:id="1878" w:name="_Toc13517"/>
      <w:bookmarkStart w:id="1879" w:name="_Toc31176"/>
      <w:bookmarkStart w:id="1880" w:name="_Toc28691"/>
      <w:bookmarkStart w:id="1881" w:name="_Toc14329"/>
      <w:bookmarkStart w:id="1882" w:name="_Toc6842"/>
      <w:bookmarkStart w:id="1883" w:name="_Toc25103"/>
      <w:bookmarkStart w:id="1884" w:name="_Toc1896"/>
      <w:r>
        <w:rPr>
          <w:rFonts w:hint="default" w:eastAsia="楷体_GB2312" w:asciiTheme="majorHAnsi" w:hAnsiTheme="majorHAnsi" w:cstheme="majorBidi"/>
          <w:b/>
          <w:bCs w:val="0"/>
          <w:kern w:val="2"/>
          <w:sz w:val="32"/>
          <w:szCs w:val="32"/>
          <w:lang w:val="en-US" w:eastAsia="zh-CN" w:bidi="ar-SA"/>
        </w:rPr>
        <w:t>第二十</w:t>
      </w:r>
      <w:r>
        <w:rPr>
          <w:rFonts w:hint="default" w:eastAsia="楷体_GB2312" w:asciiTheme="majorHAnsi" w:hAnsiTheme="majorHAnsi" w:cstheme="majorBidi"/>
          <w:b/>
          <w:bCs w:val="0"/>
          <w:kern w:val="2"/>
          <w:sz w:val="32"/>
          <w:szCs w:val="32"/>
          <w:u w:val="none"/>
          <w:lang w:val="en-US" w:eastAsia="zh-CN" w:bidi="ar-SA"/>
        </w:rPr>
        <w:t>三</w:t>
      </w:r>
      <w:r>
        <w:rPr>
          <w:rFonts w:hint="default" w:eastAsia="楷体_GB2312" w:asciiTheme="majorHAnsi" w:hAnsiTheme="majorHAnsi" w:cstheme="majorBidi"/>
          <w:b/>
          <w:bCs w:val="0"/>
          <w:kern w:val="2"/>
          <w:sz w:val="32"/>
          <w:szCs w:val="32"/>
          <w:lang w:val="en-US" w:eastAsia="zh-CN" w:bidi="ar-SA"/>
        </w:rPr>
        <w:t>条</w:t>
      </w:r>
      <w:r>
        <w:rPr>
          <w:rFonts w:eastAsia="楷体_GB2312" w:asciiTheme="majorHAnsi" w:hAnsiTheme="majorHAnsi" w:cstheme="majorBidi"/>
          <w:b/>
          <w:bCs w:val="0"/>
          <w:kern w:val="2"/>
          <w:sz w:val="32"/>
          <w:szCs w:val="32"/>
          <w:lang w:val="en-US" w:eastAsia="zh-CN" w:bidi="ar-SA"/>
        </w:rPr>
        <w:t xml:space="preserve"> </w:t>
      </w:r>
      <w:r>
        <w:rPr>
          <w:rFonts w:hint="default" w:eastAsia="楷体_GB2312" w:asciiTheme="majorHAnsi" w:hAnsiTheme="majorHAnsi" w:cstheme="majorBidi"/>
          <w:b/>
          <w:bCs w:val="0"/>
          <w:kern w:val="2"/>
          <w:sz w:val="32"/>
          <w:szCs w:val="32"/>
          <w:lang w:val="en-US" w:eastAsia="zh-CN" w:bidi="ar-SA"/>
        </w:rPr>
        <w:t xml:space="preserve"> </w:t>
      </w:r>
      <w:r>
        <w:rPr>
          <w:rFonts w:hint="default" w:eastAsia="楷体_GB2312" w:asciiTheme="majorHAnsi" w:hAnsiTheme="majorHAnsi" w:cstheme="majorBidi"/>
          <w:b/>
          <w:bCs w:val="0"/>
          <w:kern w:val="2"/>
          <w:sz w:val="32"/>
          <w:szCs w:val="32"/>
          <w:u w:val="none"/>
          <w:lang w:val="en-US" w:eastAsia="zh-CN" w:bidi="ar-SA"/>
        </w:rPr>
        <w:t>鼓励建设</w:t>
      </w:r>
      <w:r>
        <w:rPr>
          <w:rFonts w:hint="default" w:eastAsia="楷体_GB2312" w:asciiTheme="majorHAnsi" w:hAnsiTheme="majorHAnsi" w:cstheme="majorBidi"/>
          <w:b/>
          <w:bCs w:val="0"/>
          <w:kern w:val="2"/>
          <w:sz w:val="32"/>
          <w:szCs w:val="32"/>
          <w:lang w:val="en-US" w:eastAsia="zh-CN" w:bidi="ar-SA"/>
        </w:rPr>
        <w:t>文化和科技融合示范基地</w:t>
      </w:r>
      <w:bookmarkEnd w:id="1875"/>
      <w:bookmarkEnd w:id="1876"/>
      <w:bookmarkEnd w:id="1877"/>
      <w:bookmarkEnd w:id="1878"/>
      <w:bookmarkEnd w:id="1879"/>
      <w:bookmarkEnd w:id="1880"/>
      <w:bookmarkEnd w:id="1881"/>
      <w:bookmarkEnd w:id="1882"/>
      <w:bookmarkEnd w:id="1883"/>
      <w:bookmarkEnd w:id="1884"/>
    </w:p>
    <w:p>
      <w:pPr>
        <w:keepNext w:val="0"/>
        <w:keepLines w:val="0"/>
        <w:pageBreakBefore w:val="0"/>
        <w:widowControl w:val="0"/>
        <w:kinsoku/>
        <w:wordWrap/>
        <w:overflowPunct/>
        <w:topLinePunct w:val="0"/>
        <w:autoSpaceDN w:val="0"/>
        <w:bidi w:val="0"/>
        <w:spacing w:beforeAutospacing="0" w:afterAutospacing="0" w:line="560" w:lineRule="exact"/>
        <w:ind w:left="0" w:leftChars="0" w:firstLine="640" w:firstLineChars="200"/>
        <w:rPr>
          <w:rFonts w:ascii="仿宋_GB2312" w:hAnsi="仿宋_GB2312" w:cs="仿宋_GB2312"/>
          <w:color w:val="auto"/>
          <w:szCs w:val="32"/>
          <w:highlight w:val="none"/>
        </w:rPr>
      </w:pPr>
      <w:r>
        <w:rPr>
          <w:rFonts w:hint="eastAsia" w:ascii="仿宋_GB2312" w:hAnsi="仿宋_GB2312" w:eastAsia="仿宋_GB2312" w:cs="仿宋_GB2312"/>
          <w:bCs/>
          <w:color w:val="auto"/>
          <w:kern w:val="2"/>
          <w:szCs w:val="32"/>
          <w:highlight w:val="none"/>
          <w:u w:val="none"/>
        </w:rPr>
        <w:t>对获得文化和科技融合示范基地集聚类基地认定的单位</w:t>
      </w:r>
      <w:r>
        <w:rPr>
          <w:rFonts w:hint="eastAsia" w:ascii="仿宋_GB2312" w:hAnsi="仿宋_GB2312" w:cs="仿宋_GB2312"/>
          <w:bCs/>
          <w:color w:val="auto"/>
          <w:szCs w:val="32"/>
          <w:highlight w:val="none"/>
        </w:rPr>
        <w:t>给予最高不超过</w:t>
      </w:r>
      <w:r>
        <w:rPr>
          <w:rFonts w:ascii="仿宋_GB2312" w:hAnsi="仿宋_GB2312" w:cs="仿宋_GB2312"/>
          <w:bCs/>
          <w:color w:val="auto"/>
          <w:szCs w:val="32"/>
          <w:highlight w:val="none"/>
        </w:rPr>
        <w:t>300万元</w:t>
      </w:r>
      <w:r>
        <w:rPr>
          <w:rFonts w:hint="eastAsia" w:ascii="仿宋_GB2312" w:hAnsi="仿宋_GB2312" w:eastAsia="仿宋_GB2312" w:cs="仿宋_GB2312"/>
          <w:bCs/>
          <w:color w:val="auto"/>
          <w:kern w:val="2"/>
          <w:szCs w:val="32"/>
          <w:highlight w:val="none"/>
          <w:u w:val="none"/>
        </w:rPr>
        <w:t>一次性奖励</w:t>
      </w:r>
      <w:r>
        <w:rPr>
          <w:rFonts w:ascii="仿宋_GB2312" w:hAnsi="仿宋_GB2312" w:eastAsia="仿宋_GB2312" w:cs="仿宋_GB2312"/>
          <w:bCs/>
          <w:color w:val="auto"/>
          <w:kern w:val="2"/>
          <w:szCs w:val="32"/>
          <w:highlight w:val="none"/>
          <w:u w:val="none"/>
        </w:rPr>
        <w:t>，获得文化和科技融合示范基地单体类基地认定的单位</w:t>
      </w:r>
      <w:r>
        <w:rPr>
          <w:rFonts w:hint="eastAsia" w:ascii="仿宋_GB2312" w:hAnsi="仿宋_GB2312" w:cs="仿宋_GB2312"/>
          <w:bCs/>
          <w:color w:val="auto"/>
          <w:szCs w:val="32"/>
          <w:highlight w:val="none"/>
        </w:rPr>
        <w:t>给予最高不超过</w:t>
      </w:r>
      <w:r>
        <w:rPr>
          <w:rFonts w:ascii="仿宋_GB2312" w:hAnsi="仿宋_GB2312" w:cs="仿宋_GB2312"/>
          <w:bCs/>
          <w:color w:val="auto"/>
          <w:szCs w:val="32"/>
          <w:highlight w:val="none"/>
        </w:rPr>
        <w:t>100万元</w:t>
      </w:r>
      <w:r>
        <w:rPr>
          <w:rFonts w:ascii="仿宋_GB2312" w:hAnsi="仿宋_GB2312" w:eastAsia="仿宋_GB2312" w:cs="仿宋_GB2312"/>
          <w:bCs/>
          <w:color w:val="auto"/>
          <w:kern w:val="2"/>
          <w:szCs w:val="32"/>
          <w:highlight w:val="none"/>
          <w:u w:val="none"/>
        </w:rPr>
        <w:t>一次性奖励</w:t>
      </w:r>
      <w:r>
        <w:rPr>
          <w:rFonts w:hint="eastAsia" w:ascii="仿宋_GB2312" w:hAnsi="仿宋_GB2312" w:eastAsia="仿宋_GB2312" w:cs="仿宋_GB2312"/>
          <w:bCs/>
          <w:color w:val="auto"/>
          <w:kern w:val="2"/>
          <w:szCs w:val="32"/>
          <w:highlight w:val="none"/>
          <w:u w:val="none"/>
        </w:rPr>
        <w:t>，获得</w:t>
      </w:r>
      <w:r>
        <w:rPr>
          <w:rFonts w:hint="eastAsia" w:ascii="仿宋_GB2312" w:hAnsi="仿宋_GB2312" w:eastAsia="仿宋_GB2312" w:cs="仿宋_GB2312"/>
          <w:bCs w:val="0"/>
          <w:color w:val="auto"/>
          <w:kern w:val="2"/>
          <w:szCs w:val="32"/>
          <w:highlight w:val="none"/>
          <w:u w:val="none"/>
        </w:rPr>
        <w:t>文化和科技融合领军企业认定的单位</w:t>
      </w:r>
      <w:r>
        <w:rPr>
          <w:rFonts w:hint="eastAsia" w:ascii="仿宋_GB2312" w:hAnsi="仿宋_GB2312" w:cs="仿宋_GB2312"/>
          <w:bCs/>
          <w:color w:val="auto"/>
          <w:szCs w:val="32"/>
          <w:highlight w:val="none"/>
        </w:rPr>
        <w:t>给予最高不超过</w:t>
      </w:r>
      <w:r>
        <w:rPr>
          <w:rFonts w:ascii="仿宋_GB2312" w:hAnsi="仿宋_GB2312" w:cs="仿宋_GB2312"/>
          <w:color w:val="auto"/>
          <w:szCs w:val="32"/>
          <w:highlight w:val="none"/>
        </w:rPr>
        <w:t>50</w:t>
      </w:r>
      <w:r>
        <w:rPr>
          <w:rFonts w:hint="eastAsia" w:ascii="仿宋_GB2312" w:hAnsi="仿宋_GB2312" w:cs="仿宋_GB2312"/>
          <w:color w:val="auto"/>
          <w:szCs w:val="32"/>
          <w:highlight w:val="none"/>
        </w:rPr>
        <w:t>万元</w:t>
      </w:r>
      <w:r>
        <w:rPr>
          <w:rFonts w:hint="eastAsia" w:ascii="仿宋_GB2312" w:hAnsi="仿宋_GB2312" w:eastAsia="仿宋_GB2312" w:cs="仿宋_GB2312"/>
          <w:bCs w:val="0"/>
          <w:color w:val="auto"/>
          <w:kern w:val="2"/>
          <w:szCs w:val="32"/>
          <w:highlight w:val="none"/>
          <w:u w:val="none"/>
        </w:rPr>
        <w:t>一次性奖励。</w:t>
      </w:r>
    </w:p>
    <w:p>
      <w:pPr>
        <w:keepNext w:val="0"/>
        <w:keepLines w:val="0"/>
        <w:pageBreakBefore w:val="0"/>
        <w:widowControl w:val="0"/>
        <w:kinsoku/>
        <w:wordWrap/>
        <w:overflowPunct/>
        <w:topLinePunct w:val="0"/>
        <w:autoSpaceDE/>
        <w:autoSpaceDN w:val="0"/>
        <w:bidi w:val="0"/>
        <w:adjustRightInd/>
        <w:snapToGrid/>
        <w:spacing w:beforeAutospacing="0" w:afterAutospacing="0" w:line="560" w:lineRule="exact"/>
        <w:ind w:left="0" w:leftChars="0" w:firstLine="640" w:firstLineChars="200"/>
        <w:textAlignment w:val="auto"/>
        <w:rPr>
          <w:rFonts w:ascii="仿宋_GB2312" w:hAnsi="仿宋_GB2312" w:cs="仿宋_GB2312"/>
          <w:color w:val="auto"/>
          <w:szCs w:val="32"/>
          <w:highlight w:val="none"/>
        </w:rPr>
      </w:pPr>
    </w:p>
    <w:p>
      <w:pPr>
        <w:pStyle w:val="2"/>
        <w:keepNext w:val="0"/>
        <w:keepLines w:val="0"/>
        <w:pageBreakBefore w:val="0"/>
        <w:widowControl w:val="0"/>
        <w:kinsoku/>
        <w:wordWrap/>
        <w:overflowPunct/>
        <w:topLinePunct w:val="0"/>
        <w:autoSpaceDE/>
        <w:autoSpaceDN w:val="0"/>
        <w:bidi w:val="0"/>
        <w:adjustRightInd/>
        <w:snapToGrid/>
        <w:spacing w:before="0" w:beforeLines="0" w:beforeAutospacing="0" w:after="0" w:afterLines="0" w:afterAutospacing="0" w:line="560" w:lineRule="exact"/>
        <w:ind w:left="0" w:leftChars="0" w:firstLine="640" w:firstLineChars="200"/>
        <w:textAlignment w:val="auto"/>
        <w:rPr>
          <w:color w:val="auto"/>
          <w:highlight w:val="none"/>
        </w:rPr>
      </w:pPr>
      <w:bookmarkStart w:id="1885" w:name="_Toc32191"/>
      <w:bookmarkStart w:id="1886" w:name="_Toc18669"/>
      <w:bookmarkStart w:id="1887" w:name="_Toc23290"/>
      <w:bookmarkStart w:id="1888" w:name="_Toc69913898"/>
      <w:bookmarkStart w:id="1889" w:name="_Toc28797"/>
      <w:bookmarkStart w:id="1890" w:name="_Toc6837"/>
      <w:bookmarkStart w:id="1891" w:name="_Toc24581"/>
      <w:bookmarkStart w:id="1892" w:name="_Toc7939"/>
      <w:bookmarkStart w:id="1893" w:name="_Toc30336"/>
      <w:bookmarkStart w:id="1894" w:name="_Toc15161"/>
      <w:bookmarkStart w:id="1895" w:name="_Toc25599"/>
      <w:r>
        <w:rPr>
          <w:rFonts w:hint="eastAsia"/>
          <w:color w:val="auto"/>
          <w:highlight w:val="none"/>
          <w:u w:val="none"/>
        </w:rPr>
        <w:t>第</w:t>
      </w:r>
      <w:r>
        <w:rPr>
          <w:rFonts w:hint="eastAsia"/>
          <w:color w:val="auto"/>
          <w:highlight w:val="none"/>
        </w:rPr>
        <w:t>八</w:t>
      </w:r>
      <w:r>
        <w:rPr>
          <w:rFonts w:hint="eastAsia"/>
          <w:color w:val="auto"/>
          <w:highlight w:val="none"/>
          <w:u w:val="none"/>
        </w:rPr>
        <w:t>章</w:t>
      </w:r>
      <w:r>
        <w:rPr>
          <w:color w:val="auto"/>
          <w:highlight w:val="none"/>
          <w:u w:val="none"/>
        </w:rPr>
        <w:t xml:space="preserve"> </w:t>
      </w:r>
      <w:r>
        <w:rPr>
          <w:rFonts w:hint="eastAsia"/>
          <w:color w:val="auto"/>
          <w:highlight w:val="none"/>
          <w:u w:val="none"/>
          <w:lang w:val="en-US" w:eastAsia="zh-CN"/>
        </w:rPr>
        <w:t xml:space="preserve"> </w:t>
      </w:r>
      <w:r>
        <w:rPr>
          <w:rFonts w:hint="eastAsia"/>
          <w:color w:val="auto"/>
          <w:highlight w:val="none"/>
          <w:u w:val="none"/>
        </w:rPr>
        <w:t>附</w:t>
      </w:r>
      <w:r>
        <w:rPr>
          <w:rFonts w:hint="eastAsia"/>
          <w:color w:val="auto"/>
          <w:highlight w:val="none"/>
          <w:u w:val="none"/>
          <w:lang w:val="en-US" w:eastAsia="zh-CN"/>
        </w:rPr>
        <w:t xml:space="preserve">  </w:t>
      </w:r>
      <w:r>
        <w:rPr>
          <w:rFonts w:hint="eastAsia"/>
          <w:color w:val="auto"/>
          <w:highlight w:val="none"/>
          <w:u w:val="none"/>
        </w:rPr>
        <w:t>则</w:t>
      </w:r>
      <w:bookmarkEnd w:id="1885"/>
      <w:bookmarkEnd w:id="1886"/>
      <w:bookmarkEnd w:id="1887"/>
      <w:bookmarkEnd w:id="1888"/>
      <w:bookmarkEnd w:id="1889"/>
      <w:bookmarkEnd w:id="1890"/>
      <w:bookmarkEnd w:id="1891"/>
      <w:bookmarkEnd w:id="1892"/>
      <w:bookmarkEnd w:id="1893"/>
      <w:bookmarkEnd w:id="1894"/>
      <w:bookmarkEnd w:id="1895"/>
    </w:p>
    <w:p>
      <w:pPr>
        <w:keepNext w:val="0"/>
        <w:keepLines w:val="0"/>
        <w:pageBreakBefore w:val="0"/>
        <w:widowControl w:val="0"/>
        <w:kinsoku/>
        <w:wordWrap/>
        <w:overflowPunct/>
        <w:topLinePunct w:val="0"/>
        <w:autoSpaceDE/>
        <w:autoSpaceDN w:val="0"/>
        <w:bidi w:val="0"/>
        <w:adjustRightInd/>
        <w:snapToGrid/>
        <w:spacing w:beforeAutospacing="0" w:afterAutospacing="0" w:line="560" w:lineRule="exact"/>
        <w:ind w:left="0" w:leftChars="0" w:firstLine="640"/>
        <w:jc w:val="both"/>
        <w:textAlignment w:val="auto"/>
        <w:rPr>
          <w:rFonts w:hint="eastAsia" w:ascii="仿宋_GB2312" w:hAnsi="仿宋_GB2312" w:eastAsia="仿宋_GB2312" w:cs="仿宋_GB2312"/>
          <w:b/>
          <w:bCs w:val="0"/>
          <w:color w:val="auto"/>
          <w:kern w:val="2"/>
          <w:sz w:val="32"/>
          <w:szCs w:val="32"/>
          <w:highlight w:val="none"/>
          <w:u w:val="none"/>
          <w:lang w:val="en-US" w:eastAsia="zh-CN" w:bidi="ar-SA"/>
        </w:rPr>
      </w:pPr>
      <w:bookmarkStart w:id="1896" w:name="_Toc80"/>
      <w:bookmarkStart w:id="1897" w:name="_Toc6936"/>
      <w:bookmarkStart w:id="1898" w:name="_Toc30276"/>
      <w:bookmarkStart w:id="1899" w:name="_Toc21759"/>
      <w:bookmarkStart w:id="1900" w:name="_Toc8123"/>
      <w:bookmarkStart w:id="1901" w:name="_Toc25905"/>
      <w:bookmarkStart w:id="1902" w:name="_Toc835"/>
      <w:bookmarkStart w:id="1903" w:name="_Toc18682"/>
      <w:bookmarkStart w:id="1904" w:name="_Toc29923"/>
      <w:bookmarkStart w:id="1905" w:name="_Toc69913899"/>
      <w:bookmarkStart w:id="1906" w:name="_Toc731"/>
    </w:p>
    <w:p>
      <w:pPr>
        <w:keepNext w:val="0"/>
        <w:keepLines w:val="0"/>
        <w:pageBreakBefore w:val="0"/>
        <w:widowControl w:val="0"/>
        <w:kinsoku/>
        <w:wordWrap/>
        <w:overflowPunct/>
        <w:topLinePunct w:val="0"/>
        <w:autoSpaceDN w:val="0"/>
        <w:bidi w:val="0"/>
        <w:spacing w:beforeAutospacing="0" w:afterAutospacing="0" w:line="560" w:lineRule="exact"/>
        <w:ind w:left="0" w:leftChars="0" w:firstLine="640"/>
        <w:jc w:val="both"/>
        <w:rPr>
          <w:rFonts w:hint="default" w:eastAsia="楷体_GB2312" w:asciiTheme="majorHAnsi" w:hAnsiTheme="majorHAnsi" w:cstheme="majorBidi"/>
          <w:kern w:val="2"/>
          <w:sz w:val="32"/>
          <w:szCs w:val="24"/>
          <w:u w:val="none"/>
          <w:lang w:val="en-US" w:eastAsia="zh-CN" w:bidi="ar-SA"/>
        </w:rPr>
      </w:pPr>
      <w:r>
        <w:rPr>
          <w:rFonts w:hint="default" w:eastAsia="楷体_GB2312" w:asciiTheme="majorHAnsi" w:hAnsiTheme="majorHAnsi" w:cstheme="majorBidi"/>
          <w:b/>
          <w:kern w:val="2"/>
          <w:sz w:val="32"/>
          <w:szCs w:val="32"/>
          <w:lang w:val="en-US" w:eastAsia="zh-CN" w:bidi="ar-SA"/>
        </w:rPr>
        <w:t>第二十</w:t>
      </w:r>
      <w:r>
        <w:rPr>
          <w:rFonts w:eastAsia="楷体_GB2312" w:asciiTheme="majorHAnsi" w:hAnsiTheme="majorHAnsi" w:cstheme="majorBidi"/>
          <w:b/>
          <w:kern w:val="2"/>
          <w:sz w:val="32"/>
          <w:szCs w:val="32"/>
          <w:lang w:val="en-US" w:eastAsia="zh-CN" w:bidi="ar-SA"/>
        </w:rPr>
        <w:t>四</w:t>
      </w:r>
      <w:r>
        <w:rPr>
          <w:rFonts w:hint="default" w:eastAsia="楷体_GB2312" w:asciiTheme="majorHAnsi" w:hAnsiTheme="majorHAnsi" w:cstheme="majorBidi"/>
          <w:b/>
          <w:kern w:val="2"/>
          <w:sz w:val="32"/>
          <w:szCs w:val="32"/>
          <w:lang w:val="en-US" w:eastAsia="zh-CN" w:bidi="ar-SA"/>
        </w:rPr>
        <w:t xml:space="preserve">条 </w:t>
      </w:r>
      <w:bookmarkStart w:id="1907" w:name="OLE_LINK6"/>
      <w:r>
        <w:rPr>
          <w:rFonts w:hint="eastAsia" w:ascii="仿宋_GB2312" w:hAnsi="仿宋_GB2312" w:cs="仿宋_GB2312"/>
          <w:bCs w:val="0"/>
          <w:color w:val="auto"/>
          <w:kern w:val="2"/>
          <w:sz w:val="32"/>
          <w:szCs w:val="32"/>
          <w:highlight w:val="none"/>
          <w:u w:val="none"/>
          <w:lang w:val="en-US" w:eastAsia="zh-CN" w:bidi="ar-SA"/>
        </w:rPr>
        <w:t xml:space="preserve"> </w:t>
      </w:r>
      <w:r>
        <w:rPr>
          <w:rFonts w:hint="default" w:eastAsia="楷体_GB2312" w:asciiTheme="majorHAnsi" w:hAnsiTheme="majorHAnsi" w:cstheme="majorBidi"/>
          <w:b/>
          <w:bCs w:val="0"/>
          <w:kern w:val="2"/>
          <w:sz w:val="32"/>
          <w:szCs w:val="24"/>
          <w:u w:val="none"/>
          <w:lang w:val="en-US" w:eastAsia="zh-CN" w:bidi="ar-SA"/>
        </w:rPr>
        <w:t>不受“区级地方财力贡献”限制情形</w:t>
      </w:r>
      <w:bookmarkEnd w:id="1896"/>
      <w:bookmarkEnd w:id="1897"/>
      <w:bookmarkEnd w:id="1898"/>
      <w:bookmarkEnd w:id="1899"/>
      <w:bookmarkEnd w:id="1900"/>
      <w:bookmarkEnd w:id="1901"/>
      <w:bookmarkEnd w:id="1902"/>
      <w:bookmarkEnd w:id="1903"/>
      <w:bookmarkEnd w:id="1904"/>
      <w:bookmarkEnd w:id="1905"/>
      <w:bookmarkEnd w:id="1906"/>
    </w:p>
    <w:p>
      <w:pPr>
        <w:keepNext w:val="0"/>
        <w:keepLines w:val="0"/>
        <w:pageBreakBefore w:val="0"/>
        <w:widowControl w:val="0"/>
        <w:kinsoku/>
        <w:wordWrap/>
        <w:overflowPunct/>
        <w:topLinePunct w:val="0"/>
        <w:autoSpaceDN w:val="0"/>
        <w:bidi w:val="0"/>
        <w:spacing w:beforeAutospacing="0" w:afterAutospacing="0" w:line="560" w:lineRule="exact"/>
        <w:ind w:left="0" w:leftChars="0" w:firstLine="640" w:firstLineChars="200"/>
        <w:jc w:val="both"/>
        <w:rPr>
          <w:rFonts w:hint="eastAsia" w:ascii="仿宋_GB2312" w:hAnsi="仿宋_GB2312" w:eastAsia="仿宋_GB2312" w:cs="仿宋_GB2312"/>
          <w:bCs/>
          <w:color w:val="auto"/>
          <w:kern w:val="2"/>
          <w:sz w:val="32"/>
          <w:szCs w:val="32"/>
          <w:highlight w:val="none"/>
          <w:u w:val="none"/>
          <w:lang w:val="en-US" w:eastAsia="zh-CN" w:bidi="ar-SA"/>
        </w:rPr>
      </w:pPr>
      <w:r>
        <w:rPr>
          <w:rFonts w:ascii="仿宋_GB2312" w:hAnsi="仿宋_GB2312" w:eastAsia="仿宋_GB2312" w:cs="仿宋_GB2312"/>
          <w:bCs/>
          <w:color w:val="auto"/>
          <w:kern w:val="2"/>
          <w:sz w:val="32"/>
          <w:szCs w:val="32"/>
          <w:highlight w:val="none"/>
          <w:u w:val="none"/>
          <w:lang w:val="en-US" w:eastAsia="zh-CN" w:bidi="ar-SA"/>
        </w:rPr>
        <w:t>申报单位年度获得的资助总额原则上不超过其上年度形成的南山区地方财力贡献；支持文体产业空间创优评级，鼓励文化精品原创，支持文化、体育企业落地南山（园区内房租补贴），支持承办文化、体育产业展会及交流活动补贴，支持参加深圳“文博会”、支持举办高端体育赛事，支持文化消费发展，鼓励挖掘特色旅游项目资助等类别资助不受此限制。</w:t>
      </w:r>
      <w:bookmarkEnd w:id="1907"/>
    </w:p>
    <w:p>
      <w:pPr>
        <w:keepNext w:val="0"/>
        <w:keepLines w:val="0"/>
        <w:pageBreakBefore w:val="0"/>
        <w:widowControl w:val="0"/>
        <w:kinsoku/>
        <w:wordWrap/>
        <w:overflowPunct/>
        <w:topLinePunct w:val="0"/>
        <w:autoSpaceDN w:val="0"/>
        <w:bidi w:val="0"/>
        <w:spacing w:beforeAutospacing="0" w:afterAutospacing="0" w:line="560" w:lineRule="exact"/>
        <w:ind w:left="0" w:leftChars="0" w:firstLine="640" w:firstLineChars="0"/>
        <w:jc w:val="both"/>
        <w:rPr>
          <w:rFonts w:ascii="仿宋_GB2312" w:hAnsi="仿宋_GB2312" w:eastAsia="仿宋_GB2312" w:cs="仿宋_GB2312"/>
          <w:bCs/>
          <w:color w:val="auto"/>
          <w:kern w:val="2"/>
          <w:sz w:val="32"/>
          <w:szCs w:val="32"/>
          <w:highlight w:val="none"/>
          <w:u w:val="none"/>
          <w:lang w:val="en-US" w:eastAsia="zh-CN" w:bidi="ar-SA"/>
        </w:rPr>
      </w:pPr>
      <w:bookmarkStart w:id="1908" w:name="_Toc69913900"/>
      <w:bookmarkStart w:id="1909" w:name="_Toc19560"/>
      <w:bookmarkStart w:id="1910" w:name="_Toc13362"/>
      <w:bookmarkStart w:id="1911" w:name="_Toc14261"/>
      <w:bookmarkStart w:id="1912" w:name="_Toc28848"/>
      <w:bookmarkStart w:id="1913" w:name="_Toc28010"/>
      <w:bookmarkStart w:id="1914" w:name="_Toc27147"/>
      <w:bookmarkStart w:id="1915" w:name="_Toc26928"/>
      <w:bookmarkStart w:id="1916" w:name="_Toc24100"/>
      <w:bookmarkStart w:id="1917" w:name="_Toc25240"/>
      <w:r>
        <w:rPr>
          <w:rFonts w:hint="default" w:eastAsia="楷体_GB2312" w:asciiTheme="majorHAnsi" w:hAnsiTheme="majorHAnsi" w:cstheme="majorBidi"/>
          <w:b/>
          <w:bCs/>
          <w:kern w:val="2"/>
          <w:sz w:val="32"/>
          <w:szCs w:val="24"/>
          <w:lang w:val="en-US" w:eastAsia="zh-CN" w:bidi="ar-SA"/>
        </w:rPr>
        <w:t>第二十</w:t>
      </w:r>
      <w:r>
        <w:rPr>
          <w:rFonts w:eastAsia="楷体_GB2312" w:asciiTheme="majorHAnsi" w:hAnsiTheme="majorHAnsi" w:cstheme="majorBidi"/>
          <w:b/>
          <w:bCs/>
          <w:kern w:val="2"/>
          <w:sz w:val="32"/>
          <w:szCs w:val="24"/>
          <w:lang w:val="en-US" w:eastAsia="zh-CN" w:bidi="ar-SA"/>
        </w:rPr>
        <w:t>五</w:t>
      </w:r>
      <w:r>
        <w:rPr>
          <w:rFonts w:hint="default" w:eastAsia="楷体_GB2312" w:asciiTheme="majorHAnsi" w:hAnsiTheme="majorHAnsi" w:cstheme="majorBidi"/>
          <w:b/>
          <w:bCs/>
          <w:kern w:val="2"/>
          <w:sz w:val="32"/>
          <w:szCs w:val="24"/>
          <w:lang w:val="en-US" w:eastAsia="zh-CN" w:bidi="ar-SA"/>
        </w:rPr>
        <w:t xml:space="preserve">条 </w:t>
      </w:r>
      <w:r>
        <w:rPr>
          <w:rFonts w:hint="default" w:eastAsia="楷体_GB2312" w:asciiTheme="majorHAnsi" w:hAnsiTheme="majorHAnsi" w:cstheme="majorBidi"/>
          <w:b/>
          <w:kern w:val="2"/>
          <w:sz w:val="32"/>
          <w:szCs w:val="24"/>
          <w:lang w:val="en-US" w:eastAsia="zh-CN" w:bidi="ar-SA"/>
        </w:rPr>
        <w:t xml:space="preserve"> </w:t>
      </w:r>
      <w:bookmarkEnd w:id="1908"/>
      <w:bookmarkEnd w:id="1909"/>
      <w:bookmarkEnd w:id="1910"/>
      <w:bookmarkEnd w:id="1911"/>
      <w:bookmarkEnd w:id="1912"/>
      <w:bookmarkEnd w:id="1913"/>
      <w:bookmarkEnd w:id="1914"/>
      <w:bookmarkEnd w:id="1915"/>
      <w:bookmarkEnd w:id="1916"/>
      <w:bookmarkEnd w:id="1917"/>
      <w:r>
        <w:rPr>
          <w:rFonts w:ascii="仿宋_GB2312" w:hAnsi="仿宋_GB2312" w:eastAsia="仿宋_GB2312" w:cs="仿宋_GB2312"/>
          <w:bCs/>
          <w:color w:val="auto"/>
          <w:kern w:val="2"/>
          <w:sz w:val="32"/>
          <w:szCs w:val="32"/>
          <w:highlight w:val="none"/>
          <w:u w:val="none"/>
          <w:lang w:val="en-US" w:eastAsia="zh-CN" w:bidi="ar-SA"/>
        </w:rPr>
        <w:t>本措施尚未涵盖但对南山区文化、体育及旅游产业发展有重要影响的事项或上级部门有明确要求的事项，由相关单位直接向主管部门提出申请，按“一事一议”的方式报区自主创新产业发展专项资金领导小组会议审议。</w:t>
      </w:r>
    </w:p>
    <w:p>
      <w:pPr>
        <w:keepNext w:val="0"/>
        <w:keepLines w:val="0"/>
        <w:pageBreakBefore w:val="0"/>
        <w:widowControl w:val="0"/>
        <w:kinsoku/>
        <w:wordWrap/>
        <w:overflowPunct/>
        <w:topLinePunct w:val="0"/>
        <w:autoSpaceDN w:val="0"/>
        <w:bidi w:val="0"/>
        <w:spacing w:beforeAutospacing="0" w:afterAutospacing="0" w:line="560" w:lineRule="exact"/>
        <w:ind w:left="0" w:leftChars="0" w:firstLine="640" w:firstLineChars="0"/>
        <w:jc w:val="both"/>
        <w:rPr>
          <w:rFonts w:hint="eastAsia" w:ascii="仿宋_GB2312" w:hAnsi="Times New Roman"/>
          <w:bCs/>
          <w:kern w:val="44"/>
          <w:sz w:val="32"/>
          <w:szCs w:val="32"/>
          <w:highlight w:val="none"/>
          <w:lang w:eastAsia="zh-CN"/>
        </w:rPr>
      </w:pPr>
      <w:r>
        <w:rPr>
          <w:rFonts w:hint="default" w:eastAsia="楷体_GB2312" w:asciiTheme="majorHAnsi" w:hAnsiTheme="majorHAnsi" w:cstheme="majorBidi"/>
          <w:b/>
          <w:bCs/>
          <w:kern w:val="2"/>
          <w:sz w:val="32"/>
          <w:szCs w:val="24"/>
          <w:lang w:val="en-US" w:eastAsia="zh-CN" w:bidi="ar-SA"/>
        </w:rPr>
        <w:t>第二十六条</w:t>
      </w:r>
      <w:r>
        <w:rPr>
          <w:rFonts w:hint="eastAsia" w:ascii="仿宋_GB2312" w:hAnsi="Times New Roman"/>
          <w:b/>
          <w:bCs w:val="0"/>
          <w:kern w:val="44"/>
          <w:sz w:val="32"/>
          <w:szCs w:val="32"/>
          <w:highlight w:val="none"/>
          <w:lang w:val="en-US" w:eastAsia="zh-CN"/>
        </w:rPr>
        <w:t xml:space="preserve">  </w:t>
      </w:r>
      <w:r>
        <w:rPr>
          <w:rFonts w:hint="eastAsia" w:ascii="仿宋_GB2312" w:hAnsi="Times New Roman" w:eastAsia="仿宋_GB2312"/>
          <w:bCs/>
          <w:kern w:val="44"/>
          <w:sz w:val="32"/>
          <w:szCs w:val="32"/>
          <w:highlight w:val="none"/>
        </w:rPr>
        <w:t>本措施自发布之日起施行，</w:t>
      </w:r>
      <w:r>
        <w:rPr>
          <w:rFonts w:hint="default" w:ascii="仿宋_GB2312" w:hAnsi="Times New Roman" w:eastAsia="仿宋_GB2312"/>
          <w:bCs/>
          <w:kern w:val="44"/>
          <w:sz w:val="32"/>
          <w:szCs w:val="32"/>
          <w:highlight w:val="none"/>
        </w:rPr>
        <w:t>有效期</w:t>
      </w:r>
      <w:r>
        <w:rPr>
          <w:rFonts w:hint="eastAsia" w:ascii="仿宋_GB2312" w:hAnsi="Times New Roman"/>
          <w:bCs/>
          <w:kern w:val="44"/>
          <w:sz w:val="32"/>
          <w:szCs w:val="32"/>
          <w:highlight w:val="none"/>
          <w:lang w:eastAsia="zh-CN"/>
        </w:rPr>
        <w:t>三</w:t>
      </w:r>
      <w:r>
        <w:rPr>
          <w:rFonts w:hint="default" w:ascii="仿宋_GB2312" w:hAnsi="Times New Roman" w:eastAsia="仿宋_GB2312"/>
          <w:bCs/>
          <w:kern w:val="44"/>
          <w:sz w:val="32"/>
          <w:szCs w:val="32"/>
          <w:highlight w:val="none"/>
        </w:rPr>
        <w:t>年</w:t>
      </w:r>
      <w:r>
        <w:rPr>
          <w:rFonts w:hint="eastAsia" w:ascii="仿宋_GB2312" w:hAnsi="Times New Roman"/>
          <w:bCs/>
          <w:kern w:val="44"/>
          <w:sz w:val="32"/>
          <w:szCs w:val="32"/>
          <w:highlight w:val="none"/>
          <w:lang w:eastAsia="zh-CN"/>
        </w:rPr>
        <w:t>。</w:t>
      </w:r>
    </w:p>
    <w:p>
      <w:pPr>
        <w:keepNext w:val="0"/>
        <w:keepLines w:val="0"/>
        <w:pageBreakBefore w:val="0"/>
        <w:widowControl w:val="0"/>
        <w:kinsoku/>
        <w:wordWrap/>
        <w:overflowPunct/>
        <w:topLinePunct w:val="0"/>
        <w:autoSpaceDN/>
        <w:bidi w:val="0"/>
        <w:spacing w:beforeAutospacing="0" w:afterAutospacing="0" w:line="560" w:lineRule="exact"/>
        <w:ind w:left="0" w:leftChars="0" w:firstLine="643" w:firstLineChars="200"/>
        <w:jc w:val="both"/>
        <w:rPr>
          <w:rFonts w:hint="eastAsia"/>
        </w:rPr>
      </w:pPr>
      <w:r>
        <w:rPr>
          <w:rFonts w:hint="default" w:eastAsia="楷体_GB2312" w:asciiTheme="majorHAnsi" w:hAnsiTheme="majorHAnsi" w:cstheme="majorBidi"/>
          <w:b/>
          <w:bCs w:val="0"/>
          <w:kern w:val="2"/>
          <w:sz w:val="32"/>
          <w:szCs w:val="24"/>
          <w:lang w:val="en-US" w:eastAsia="zh-CN" w:bidi="ar-SA"/>
        </w:rPr>
        <w:t xml:space="preserve">第二十七条 </w:t>
      </w:r>
      <w:r>
        <w:rPr>
          <w:rFonts w:hint="eastAsia" w:ascii="黑体" w:hAnsi="黑体" w:eastAsia="黑体"/>
          <w:color w:val="000000"/>
          <w:szCs w:val="32"/>
          <w:highlight w:val="none"/>
          <w:lang w:val="en-US" w:eastAsia="zh-CN"/>
        </w:rPr>
        <w:t xml:space="preserve"> </w:t>
      </w:r>
      <w:r>
        <w:rPr>
          <w:rFonts w:hint="eastAsia" w:ascii="仿宋_GB2312"/>
          <w:color w:val="000000"/>
          <w:szCs w:val="32"/>
          <w:highlight w:val="none"/>
        </w:rPr>
        <w:t>本措施由区文化广电旅游体育局负责解释，</w:t>
      </w:r>
      <w:r>
        <w:rPr>
          <w:rFonts w:hint="eastAsia" w:ascii="仿宋_GB2312" w:hAnsi="仿宋_GB2312"/>
          <w:color w:val="000000"/>
          <w:szCs w:val="32"/>
          <w:highlight w:val="none"/>
        </w:rPr>
        <w:t>制定与</w:t>
      </w:r>
      <w:r>
        <w:rPr>
          <w:rFonts w:hint="eastAsia" w:ascii="仿宋_GB2312"/>
          <w:color w:val="000000"/>
          <w:szCs w:val="32"/>
          <w:highlight w:val="none"/>
        </w:rPr>
        <w:t>本措施</w:t>
      </w:r>
      <w:r>
        <w:rPr>
          <w:rFonts w:hint="eastAsia" w:ascii="仿宋_GB2312" w:hAnsi="仿宋_GB2312"/>
          <w:color w:val="000000"/>
          <w:szCs w:val="32"/>
          <w:highlight w:val="none"/>
        </w:rPr>
        <w:t>相关的操作规程。</w:t>
      </w:r>
    </w:p>
    <w:p>
      <w:pPr>
        <w:keepNext w:val="0"/>
        <w:keepLines w:val="0"/>
        <w:pageBreakBefore w:val="0"/>
        <w:widowControl w:val="0"/>
        <w:wordWrap/>
        <w:topLinePunct w:val="0"/>
        <w:bidi w:val="0"/>
        <w:spacing w:beforeAutospacing="0" w:afterAutospacing="0" w:line="560" w:lineRule="exact"/>
        <w:ind w:left="0" w:leftChars="0"/>
        <w:jc w:val="center"/>
        <w:rPr>
          <w:rFonts w:hint="eastAsia" w:ascii="方正小标宋简体" w:hAnsi="方正小标宋简体" w:eastAsia="方正小标宋简体" w:cs="方正小标宋简体"/>
          <w:color w:val="auto"/>
          <w:sz w:val="44"/>
          <w:szCs w:val="44"/>
          <w:highlight w:val="none"/>
        </w:rPr>
      </w:pPr>
    </w:p>
    <w:p>
      <w:pP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br w:type="page"/>
      </w:r>
    </w:p>
    <w:p>
      <w:pPr>
        <w:keepNext w:val="0"/>
        <w:keepLines w:val="0"/>
        <w:pageBreakBefore w:val="0"/>
        <w:widowControl w:val="0"/>
        <w:wordWrap/>
        <w:topLinePunct w:val="0"/>
        <w:bidi w:val="0"/>
        <w:spacing w:beforeAutospacing="0" w:afterAutospacing="0" w:line="560" w:lineRule="exact"/>
        <w:ind w:left="0" w:leftChars="0"/>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南山区</w:t>
      </w:r>
      <w:r>
        <w:rPr>
          <w:rFonts w:hint="eastAsia" w:ascii="方正小标宋简体" w:hAnsi="方正小标宋简体" w:eastAsia="方正小标宋简体" w:cs="方正小标宋简体"/>
          <w:color w:val="auto"/>
          <w:sz w:val="44"/>
          <w:szCs w:val="44"/>
          <w:highlight w:val="none"/>
          <w:lang w:eastAsia="zh-CN"/>
        </w:rPr>
        <w:t>促进</w:t>
      </w:r>
      <w:r>
        <w:rPr>
          <w:rFonts w:hint="eastAsia" w:ascii="方正小标宋简体" w:hAnsi="方正小标宋简体" w:eastAsia="方正小标宋简体" w:cs="方正小标宋简体"/>
          <w:color w:val="auto"/>
          <w:sz w:val="44"/>
          <w:szCs w:val="44"/>
          <w:highlight w:val="none"/>
        </w:rPr>
        <w:t>电竞产业发展专项扶持措施</w:t>
      </w:r>
    </w:p>
    <w:p>
      <w:pPr>
        <w:keepNext w:val="0"/>
        <w:keepLines w:val="0"/>
        <w:pageBreakBefore w:val="0"/>
        <w:widowControl w:val="0"/>
        <w:wordWrap/>
        <w:topLinePunct w:val="0"/>
        <w:bidi w:val="0"/>
        <w:spacing w:beforeAutospacing="0" w:afterAutospacing="0" w:line="560" w:lineRule="exact"/>
        <w:ind w:left="0" w:leftChars="0"/>
        <w:jc w:val="center"/>
        <w:rPr>
          <w:rFonts w:hint="eastAsia" w:ascii="宋体" w:hAnsi="宋体" w:eastAsia="宋体" w:cs="宋体"/>
          <w:b/>
          <w:bCs/>
          <w:color w:val="000000" w:themeColor="text1"/>
          <w:sz w:val="36"/>
          <w:szCs w:val="36"/>
          <w:lang w:eastAsia="zh-CN"/>
          <w14:textFill>
            <w14:solidFill>
              <w14:schemeClr w14:val="tx1"/>
            </w14:solidFill>
          </w14:textFill>
        </w:rPr>
      </w:pPr>
      <w:r>
        <w:rPr>
          <w:rFonts w:hint="eastAsia" w:ascii="宋体" w:hAnsi="宋体" w:eastAsia="宋体" w:cs="宋体"/>
          <w:b/>
          <w:bCs/>
          <w:color w:val="000000" w:themeColor="text1"/>
          <w:sz w:val="36"/>
          <w:szCs w:val="36"/>
          <w:lang w:eastAsia="zh-CN"/>
          <w14:textFill>
            <w14:solidFill>
              <w14:schemeClr w14:val="tx1"/>
            </w14:solidFill>
          </w14:textFill>
        </w:rPr>
        <w:t>（征求意见稿）</w:t>
      </w:r>
    </w:p>
    <w:p>
      <w:pPr>
        <w:keepNext w:val="0"/>
        <w:keepLines w:val="0"/>
        <w:pageBreakBefore w:val="0"/>
        <w:widowControl w:val="0"/>
        <w:numPr>
          <w:ilvl w:val="255"/>
          <w:numId w:val="0"/>
        </w:numPr>
        <w:kinsoku w:val="0"/>
        <w:wordWrap/>
        <w:overflowPunct w:val="0"/>
        <w:topLinePunct w:val="0"/>
        <w:autoSpaceDE w:val="0"/>
        <w:autoSpaceDN w:val="0"/>
        <w:bidi w:val="0"/>
        <w:adjustRightInd w:val="0"/>
        <w:snapToGrid w:val="0"/>
        <w:spacing w:beforeAutospacing="0" w:afterAutospacing="0" w:line="560" w:lineRule="exact"/>
        <w:ind w:left="0" w:leftChars="0"/>
        <w:jc w:val="center"/>
        <w:textAlignment w:val="auto"/>
        <w:rPr>
          <w:rFonts w:hint="eastAsia" w:ascii="黑体" w:hAnsi="黑体" w:eastAsia="黑体"/>
          <w:color w:val="000000" w:themeColor="text1"/>
          <w:sz w:val="32"/>
          <w:szCs w:val="32"/>
          <w14:textFill>
            <w14:solidFill>
              <w14:schemeClr w14:val="tx1"/>
            </w14:solidFill>
          </w14:textFill>
        </w:rPr>
      </w:pPr>
      <w:bookmarkStart w:id="1918" w:name="_Toc526894808"/>
    </w:p>
    <w:p>
      <w:pPr>
        <w:pStyle w:val="2"/>
        <w:keepNext w:val="0"/>
        <w:keepLines w:val="0"/>
        <w:pageBreakBefore w:val="0"/>
        <w:widowControl w:val="0"/>
        <w:numPr>
          <w:ilvl w:val="255"/>
          <w:numId w:val="0"/>
        </w:numPr>
        <w:kinsoku w:val="0"/>
        <w:wordWrap/>
        <w:overflowPunct w:val="0"/>
        <w:topLinePunct w:val="0"/>
        <w:autoSpaceDE w:val="0"/>
        <w:autoSpaceDN w:val="0"/>
        <w:bidi w:val="0"/>
        <w:adjustRightInd w:val="0"/>
        <w:snapToGrid w:val="0"/>
        <w:spacing w:before="0" w:beforeLines="0" w:beforeAutospacing="0" w:after="0" w:afterLines="0" w:afterAutospacing="0" w:line="560" w:lineRule="exact"/>
        <w:ind w:left="0" w:leftChars="0"/>
        <w:jc w:val="center"/>
        <w:textAlignment w:val="auto"/>
        <w:rPr>
          <w:rFonts w:hint="eastAsia" w:eastAsia="黑体" w:asciiTheme="minorHAnsi" w:hAnsiTheme="minorHAnsi" w:cstheme="minorBidi"/>
          <w:b w:val="0"/>
          <w:bCs w:val="0"/>
          <w:color w:val="auto"/>
          <w:sz w:val="32"/>
          <w:szCs w:val="24"/>
          <w:highlight w:val="none"/>
        </w:rPr>
      </w:pPr>
      <w:r>
        <w:rPr>
          <w:rFonts w:hint="eastAsia" w:eastAsia="黑体" w:asciiTheme="minorHAnsi" w:hAnsiTheme="minorHAnsi" w:cstheme="minorBidi"/>
          <w:b w:val="0"/>
          <w:bCs w:val="0"/>
          <w:color w:val="auto"/>
          <w:sz w:val="32"/>
          <w:szCs w:val="24"/>
          <w:highlight w:val="none"/>
        </w:rPr>
        <w:t xml:space="preserve">第一章 </w:t>
      </w:r>
      <w:r>
        <w:rPr>
          <w:rFonts w:hint="eastAsia" w:asciiTheme="minorHAnsi" w:hAnsiTheme="minorHAnsi" w:cstheme="minorBidi"/>
          <w:b w:val="0"/>
          <w:bCs w:val="0"/>
          <w:color w:val="auto"/>
          <w:sz w:val="32"/>
          <w:szCs w:val="24"/>
          <w:highlight w:val="none"/>
          <w:lang w:val="en-US" w:eastAsia="zh-CN"/>
        </w:rPr>
        <w:t xml:space="preserve"> </w:t>
      </w:r>
      <w:r>
        <w:rPr>
          <w:rFonts w:hint="eastAsia" w:eastAsia="黑体" w:asciiTheme="minorHAnsi" w:hAnsiTheme="minorHAnsi" w:cstheme="minorBidi"/>
          <w:b w:val="0"/>
          <w:bCs w:val="0"/>
          <w:color w:val="auto"/>
          <w:sz w:val="32"/>
          <w:szCs w:val="24"/>
          <w:highlight w:val="none"/>
        </w:rPr>
        <w:t>总 则</w:t>
      </w:r>
      <w:bookmarkEnd w:id="1918"/>
    </w:p>
    <w:p>
      <w:pPr>
        <w:pStyle w:val="20"/>
        <w:keepNext w:val="0"/>
        <w:keepLines w:val="0"/>
        <w:pageBreakBefore w:val="0"/>
        <w:widowControl w:val="0"/>
        <w:numPr>
          <w:ilvl w:val="255"/>
          <w:numId w:val="0"/>
        </w:numPr>
        <w:tabs>
          <w:tab w:val="left" w:pos="0"/>
        </w:tabs>
        <w:kinsoku w:val="0"/>
        <w:wordWrap/>
        <w:overflowPunct w:val="0"/>
        <w:topLinePunct w:val="0"/>
        <w:autoSpaceDE w:val="0"/>
        <w:autoSpaceDN w:val="0"/>
        <w:bidi w:val="0"/>
        <w:adjustRightInd w:val="0"/>
        <w:snapToGrid w:val="0"/>
        <w:spacing w:beforeAutospacing="0" w:afterAutospacing="0" w:line="560" w:lineRule="exact"/>
        <w:ind w:left="0" w:leftChars="0" w:firstLine="643" w:firstLineChars="200"/>
        <w:jc w:val="left"/>
        <w:textAlignment w:val="auto"/>
        <w:rPr>
          <w:rFonts w:ascii="仿宋_GB2312" w:hAnsi="华文仿宋" w:eastAsia="仿宋_GB2312"/>
          <w:b/>
          <w:bCs/>
          <w:color w:val="000000" w:themeColor="text1"/>
          <w:sz w:val="32"/>
          <w:szCs w:val="32"/>
          <w:highlight w:val="none"/>
          <w14:textFill>
            <w14:solidFill>
              <w14:schemeClr w14:val="tx1"/>
            </w14:solidFill>
          </w14:textFill>
        </w:rPr>
      </w:pPr>
    </w:p>
    <w:p>
      <w:pPr>
        <w:pStyle w:val="20"/>
        <w:keepNext w:val="0"/>
        <w:keepLines w:val="0"/>
        <w:pageBreakBefore w:val="0"/>
        <w:widowControl w:val="0"/>
        <w:numPr>
          <w:ilvl w:val="255"/>
          <w:numId w:val="0"/>
        </w:numPr>
        <w:tabs>
          <w:tab w:val="left" w:pos="0"/>
        </w:tabs>
        <w:wordWrap/>
        <w:topLinePunct w:val="0"/>
        <w:bidi w:val="0"/>
        <w:spacing w:beforeAutospacing="0" w:afterAutospacing="0" w:line="560" w:lineRule="exact"/>
        <w:ind w:left="0" w:leftChars="0" w:firstLine="643" w:firstLineChars="200"/>
        <w:textAlignment w:val="auto"/>
        <w:rPr>
          <w:rFonts w:ascii="仿宋_GB2312" w:hAnsi="仿宋" w:eastAsia="仿宋_GB2312" w:cs="仿宋"/>
          <w:color w:val="000000" w:themeColor="text1"/>
          <w:sz w:val="32"/>
          <w:szCs w:val="32"/>
          <w:highlight w:val="none"/>
          <w14:textFill>
            <w14:solidFill>
              <w14:schemeClr w14:val="tx1"/>
            </w14:solidFill>
          </w14:textFill>
        </w:rPr>
      </w:pPr>
      <w:r>
        <w:rPr>
          <w:rFonts w:hint="eastAsia" w:ascii="楷体_GB2312" w:hAnsi="楷体_GB2312" w:eastAsia="楷体_GB2312" w:cs="楷体_GB2312"/>
          <w:b/>
          <w:color w:val="auto"/>
          <w:sz w:val="32"/>
          <w:szCs w:val="24"/>
          <w:highlight w:val="none"/>
        </w:rPr>
        <w:t xml:space="preserve">第一条 </w:t>
      </w:r>
      <w:r>
        <w:rPr>
          <w:rFonts w:hint="eastAsia" w:ascii="楷体_GB2312" w:hAnsi="楷体_GB2312" w:eastAsia="楷体_GB2312" w:cs="楷体_GB2312"/>
          <w:b/>
          <w:color w:val="auto"/>
          <w:sz w:val="32"/>
          <w:szCs w:val="24"/>
          <w:highlight w:val="none"/>
          <w:lang w:val="en-US" w:eastAsia="zh-CN"/>
        </w:rPr>
        <w:t xml:space="preserve"> </w:t>
      </w:r>
      <w:r>
        <w:rPr>
          <w:rFonts w:hint="eastAsia" w:ascii="仿宋_GB2312" w:hAnsi="仿宋" w:eastAsia="仿宋_GB2312" w:cs="仿宋"/>
          <w:color w:val="000000" w:themeColor="text1"/>
          <w:sz w:val="32"/>
          <w:szCs w:val="32"/>
          <w:highlight w:val="none"/>
          <w14:textFill>
            <w14:solidFill>
              <w14:schemeClr w14:val="tx1"/>
            </w14:solidFill>
          </w14:textFill>
        </w:rPr>
        <w:t>为支持深圳市南山区电竞产业高质量发展，进一步提升南山区电竞产业竞争力，打造粤港澳电竞产业中心，根据《南山区自主创新产业发展专项资金管理办法》，制定本</w:t>
      </w:r>
      <w:r>
        <w:rPr>
          <w:rFonts w:hint="eastAsia" w:ascii="仿宋_GB2312" w:hAnsi="仿宋" w:eastAsia="仿宋_GB2312" w:cs="仿宋"/>
          <w:color w:val="000000" w:themeColor="text1"/>
          <w:sz w:val="32"/>
          <w:szCs w:val="32"/>
          <w:highlight w:val="none"/>
          <w:lang w:eastAsia="zh-CN"/>
          <w14:textFill>
            <w14:solidFill>
              <w14:schemeClr w14:val="tx1"/>
            </w14:solidFill>
          </w14:textFill>
        </w:rPr>
        <w:t>措施</w:t>
      </w:r>
      <w:r>
        <w:rPr>
          <w:rFonts w:hint="eastAsia" w:ascii="仿宋_GB2312" w:hAnsi="仿宋" w:eastAsia="仿宋_GB2312" w:cs="仿宋"/>
          <w:color w:val="000000" w:themeColor="text1"/>
          <w:sz w:val="32"/>
          <w:szCs w:val="32"/>
          <w:highlight w:val="none"/>
          <w14:textFill>
            <w14:solidFill>
              <w14:schemeClr w14:val="tx1"/>
            </w14:solidFill>
          </w14:textFill>
        </w:rPr>
        <w:t>。</w:t>
      </w:r>
    </w:p>
    <w:p>
      <w:pPr>
        <w:pStyle w:val="20"/>
        <w:keepNext w:val="0"/>
        <w:keepLines w:val="0"/>
        <w:pageBreakBefore w:val="0"/>
        <w:widowControl w:val="0"/>
        <w:tabs>
          <w:tab w:val="left" w:pos="0"/>
        </w:tabs>
        <w:wordWrap/>
        <w:topLinePunct w:val="0"/>
        <w:bidi w:val="0"/>
        <w:spacing w:beforeAutospacing="0" w:afterAutospacing="0" w:line="560" w:lineRule="exact"/>
        <w:ind w:left="0" w:leftChars="0" w:firstLine="640"/>
        <w:textAlignment w:val="auto"/>
        <w:rPr>
          <w:rFonts w:ascii="仿宋_GB2312" w:hAnsi="仿宋" w:eastAsia="仿宋_GB2312" w:cs="仿宋"/>
          <w:b/>
          <w:color w:val="000000" w:themeColor="text1"/>
          <w:sz w:val="32"/>
          <w:szCs w:val="32"/>
          <w:highlight w:val="none"/>
          <w14:textFill>
            <w14:solidFill>
              <w14:schemeClr w14:val="tx1"/>
            </w14:solidFill>
          </w14:textFill>
        </w:rPr>
      </w:pPr>
      <w:r>
        <w:rPr>
          <w:rFonts w:hint="eastAsia" w:ascii="楷体_GB2312" w:hAnsi="楷体_GB2312" w:eastAsia="楷体_GB2312" w:cs="楷体_GB2312"/>
          <w:b/>
          <w:color w:val="auto"/>
          <w:sz w:val="32"/>
          <w:szCs w:val="24"/>
          <w:highlight w:val="none"/>
        </w:rPr>
        <w:t xml:space="preserve">第二条 </w:t>
      </w:r>
      <w:r>
        <w:rPr>
          <w:rFonts w:hint="eastAsia" w:ascii="楷体_GB2312" w:hAnsi="楷体_GB2312" w:eastAsia="楷体_GB2312" w:cs="楷体_GB2312"/>
          <w:b/>
          <w:color w:val="auto"/>
          <w:sz w:val="32"/>
          <w:szCs w:val="24"/>
          <w:highlight w:val="none"/>
          <w:lang w:val="en-US" w:eastAsia="zh-CN"/>
        </w:rPr>
        <w:t xml:space="preserve"> </w:t>
      </w:r>
      <w:r>
        <w:rPr>
          <w:rFonts w:hint="eastAsia" w:ascii="仿宋_GB2312" w:hAnsi="仿宋" w:eastAsia="仿宋_GB2312" w:cs="仿宋"/>
          <w:color w:val="000000" w:themeColor="text1"/>
          <w:sz w:val="32"/>
          <w:szCs w:val="32"/>
          <w:highlight w:val="none"/>
          <w14:textFill>
            <w14:solidFill>
              <w14:schemeClr w14:val="tx1"/>
            </w14:solidFill>
          </w14:textFill>
        </w:rPr>
        <w:t>本</w:t>
      </w:r>
      <w:r>
        <w:rPr>
          <w:rFonts w:hint="eastAsia" w:ascii="仿宋_GB2312" w:hAnsi="仿宋" w:eastAsia="仿宋_GB2312" w:cs="仿宋"/>
          <w:color w:val="000000" w:themeColor="text1"/>
          <w:sz w:val="32"/>
          <w:szCs w:val="32"/>
          <w:highlight w:val="none"/>
          <w:lang w:eastAsia="zh-CN"/>
          <w14:textFill>
            <w14:solidFill>
              <w14:schemeClr w14:val="tx1"/>
            </w14:solidFill>
          </w14:textFill>
        </w:rPr>
        <w:t>措施</w:t>
      </w:r>
      <w:r>
        <w:rPr>
          <w:rFonts w:hint="eastAsia" w:ascii="仿宋_GB2312" w:hAnsi="仿宋" w:eastAsia="仿宋_GB2312" w:cs="仿宋"/>
          <w:color w:val="000000" w:themeColor="text1"/>
          <w:sz w:val="32"/>
          <w:szCs w:val="32"/>
          <w:highlight w:val="none"/>
          <w14:textFill>
            <w14:solidFill>
              <w14:schemeClr w14:val="tx1"/>
            </w14:solidFill>
          </w14:textFill>
        </w:rPr>
        <w:t>适用于南山区电竞产业发展资金的申报、审核及相关管理活动，由区文化广电旅游体育局制定和主管，资金使用由区自主创新产业发展专项资金领导小组决策和审批。</w:t>
      </w:r>
    </w:p>
    <w:p>
      <w:pPr>
        <w:pStyle w:val="20"/>
        <w:keepNext w:val="0"/>
        <w:keepLines w:val="0"/>
        <w:pageBreakBefore w:val="0"/>
        <w:widowControl w:val="0"/>
        <w:tabs>
          <w:tab w:val="left" w:pos="0"/>
        </w:tabs>
        <w:wordWrap/>
        <w:topLinePunct w:val="0"/>
        <w:bidi w:val="0"/>
        <w:spacing w:beforeAutospacing="0" w:afterAutospacing="0" w:line="560" w:lineRule="exact"/>
        <w:ind w:left="0" w:leftChars="0" w:firstLine="0" w:firstLineChars="0"/>
        <w:jc w:val="left"/>
        <w:textAlignment w:val="auto"/>
        <w:rPr>
          <w:rFonts w:ascii="仿宋_GB2312" w:hAnsi="黑体" w:eastAsia="仿宋_GB2312"/>
          <w:b/>
          <w:bCs/>
          <w:color w:val="000000" w:themeColor="text1"/>
          <w:sz w:val="32"/>
          <w:szCs w:val="32"/>
          <w:highlight w:val="none"/>
          <w14:textFill>
            <w14:solidFill>
              <w14:schemeClr w14:val="tx1"/>
            </w14:solidFill>
          </w14:textFill>
        </w:rPr>
      </w:pPr>
      <w:bookmarkStart w:id="1919" w:name="_Toc526894809"/>
    </w:p>
    <w:p>
      <w:pPr>
        <w:pStyle w:val="2"/>
        <w:keepNext w:val="0"/>
        <w:keepLines w:val="0"/>
        <w:pageBreakBefore w:val="0"/>
        <w:widowControl w:val="0"/>
        <w:numPr>
          <w:ilvl w:val="255"/>
          <w:numId w:val="0"/>
        </w:numPr>
        <w:wordWrap/>
        <w:topLinePunct w:val="0"/>
        <w:bidi w:val="0"/>
        <w:spacing w:before="0" w:beforeLines="0" w:beforeAutospacing="0" w:after="0" w:afterLines="0" w:afterAutospacing="0" w:line="560" w:lineRule="exact"/>
        <w:ind w:left="0" w:leftChars="0"/>
        <w:jc w:val="center"/>
        <w:textAlignment w:val="auto"/>
        <w:rPr>
          <w:rFonts w:hint="eastAsia" w:eastAsia="黑体" w:asciiTheme="minorHAnsi" w:hAnsiTheme="minorHAnsi" w:cstheme="minorBidi"/>
          <w:b w:val="0"/>
          <w:bCs w:val="0"/>
          <w:color w:val="auto"/>
          <w:sz w:val="32"/>
          <w:szCs w:val="24"/>
          <w:highlight w:val="none"/>
        </w:rPr>
      </w:pPr>
      <w:r>
        <w:rPr>
          <w:rFonts w:hint="eastAsia" w:eastAsia="黑体" w:asciiTheme="minorHAnsi" w:hAnsiTheme="minorHAnsi" w:cstheme="minorBidi"/>
          <w:b w:val="0"/>
          <w:bCs w:val="0"/>
          <w:color w:val="auto"/>
          <w:sz w:val="32"/>
          <w:szCs w:val="24"/>
          <w:highlight w:val="none"/>
        </w:rPr>
        <w:t>第二章  支持对象</w:t>
      </w:r>
      <w:bookmarkEnd w:id="1919"/>
    </w:p>
    <w:p>
      <w:pPr>
        <w:keepNext w:val="0"/>
        <w:keepLines w:val="0"/>
        <w:pageBreakBefore w:val="0"/>
        <w:widowControl w:val="0"/>
        <w:wordWrap/>
        <w:topLinePunct w:val="0"/>
        <w:bidi w:val="0"/>
        <w:spacing w:beforeAutospacing="0" w:afterAutospacing="0" w:line="560" w:lineRule="exact"/>
        <w:ind w:left="0" w:leftChars="0" w:firstLine="640" w:firstLineChars="200"/>
        <w:jc w:val="left"/>
        <w:textAlignment w:val="auto"/>
        <w:rPr>
          <w:rFonts w:ascii="仿宋_GB2312" w:hAnsi="华文仿宋" w:eastAsia="仿宋_GB2312"/>
          <w:color w:val="000000" w:themeColor="text1"/>
          <w:sz w:val="32"/>
          <w:szCs w:val="32"/>
          <w:highlight w:val="none"/>
          <w14:textFill>
            <w14:solidFill>
              <w14:schemeClr w14:val="tx1"/>
            </w14:solidFill>
          </w14:textFill>
        </w:rPr>
      </w:pPr>
    </w:p>
    <w:p>
      <w:pPr>
        <w:pStyle w:val="20"/>
        <w:keepNext w:val="0"/>
        <w:keepLines w:val="0"/>
        <w:pageBreakBefore w:val="0"/>
        <w:widowControl w:val="0"/>
        <w:numPr>
          <w:ilvl w:val="-1"/>
          <w:numId w:val="0"/>
        </w:numPr>
        <w:tabs>
          <w:tab w:val="left" w:pos="0"/>
        </w:tabs>
        <w:wordWrap/>
        <w:topLinePunct w:val="0"/>
        <w:bidi w:val="0"/>
        <w:spacing w:beforeAutospacing="0" w:afterAutospacing="0" w:line="560" w:lineRule="exact"/>
        <w:ind w:left="0" w:leftChars="0" w:firstLine="640" w:firstLineChars="0"/>
        <w:textAlignment w:val="auto"/>
        <w:rPr>
          <w:rFonts w:hint="eastAsia" w:ascii="楷体_GB2312" w:hAnsi="楷体_GB2312" w:eastAsia="楷体_GB2312" w:cs="楷体_GB2312"/>
          <w:b/>
          <w:color w:val="auto"/>
          <w:sz w:val="32"/>
          <w:szCs w:val="24"/>
          <w:highlight w:val="none"/>
        </w:rPr>
      </w:pPr>
      <w:bookmarkStart w:id="1920" w:name="_Hlk16154684"/>
      <w:r>
        <w:rPr>
          <w:rFonts w:hint="eastAsia" w:ascii="楷体_GB2312" w:hAnsi="楷体_GB2312" w:eastAsia="楷体_GB2312" w:cs="楷体_GB2312"/>
          <w:b/>
          <w:color w:val="auto"/>
          <w:sz w:val="32"/>
          <w:szCs w:val="24"/>
          <w:highlight w:val="none"/>
        </w:rPr>
        <w:t xml:space="preserve">第三条 </w:t>
      </w:r>
      <w:bookmarkStart w:id="1921" w:name="_Hlk16154809"/>
      <w:r>
        <w:rPr>
          <w:rFonts w:hint="eastAsia" w:ascii="楷体_GB2312" w:hAnsi="楷体_GB2312" w:eastAsia="楷体_GB2312" w:cs="楷体_GB2312"/>
          <w:b/>
          <w:color w:val="auto"/>
          <w:sz w:val="32"/>
          <w:szCs w:val="24"/>
          <w:highlight w:val="none"/>
          <w:lang w:val="en-US" w:eastAsia="zh-CN"/>
        </w:rPr>
        <w:t xml:space="preserve"> </w:t>
      </w:r>
      <w:r>
        <w:rPr>
          <w:rFonts w:hint="eastAsia" w:ascii="楷体_GB2312" w:hAnsi="楷体_GB2312" w:eastAsia="楷体_GB2312" w:cs="楷体_GB2312"/>
          <w:b/>
          <w:color w:val="auto"/>
          <w:sz w:val="32"/>
          <w:szCs w:val="24"/>
          <w:highlight w:val="none"/>
        </w:rPr>
        <w:t>支持对象范围</w:t>
      </w:r>
    </w:p>
    <w:p>
      <w:pPr>
        <w:keepNext w:val="0"/>
        <w:keepLines w:val="0"/>
        <w:pageBreakBefore w:val="0"/>
        <w:widowControl w:val="0"/>
        <w:wordWrap/>
        <w:topLinePunct w:val="0"/>
        <w:bidi w:val="0"/>
        <w:spacing w:beforeAutospacing="0" w:afterAutospacing="0" w:line="560" w:lineRule="exact"/>
        <w:ind w:left="0" w:leftChars="0" w:firstLine="640" w:firstLineChars="200"/>
        <w:textAlignment w:val="auto"/>
        <w:rPr>
          <w:rFonts w:ascii="仿宋_GB2312" w:hAnsi="仿宋" w:eastAsia="仿宋_GB2312" w:cs="仿宋"/>
          <w:color w:val="000000" w:themeColor="text1"/>
          <w:sz w:val="32"/>
          <w:szCs w:val="32"/>
          <w:highlight w:val="none"/>
          <w14:textFill>
            <w14:solidFill>
              <w14:schemeClr w14:val="tx1"/>
            </w14:solidFill>
          </w14:textFill>
        </w:rPr>
      </w:pPr>
      <w:r>
        <w:rPr>
          <w:rFonts w:hint="eastAsia" w:ascii="仿宋_GB2312" w:hAnsi="仿宋" w:eastAsia="仿宋_GB2312" w:cs="仿宋"/>
          <w:color w:val="000000" w:themeColor="text1"/>
          <w:sz w:val="32"/>
          <w:szCs w:val="32"/>
          <w:highlight w:val="none"/>
          <w14:textFill>
            <w14:solidFill>
              <w14:schemeClr w14:val="tx1"/>
            </w14:solidFill>
          </w14:textFill>
        </w:rPr>
        <w:t>从事电竞及相关产业的企事业单位，业务范围主要包括电竞游戏、电竞俱乐部、电竞赛事、电竞产业活动、电竞场馆、电竞产业园、电竞教育和培训。</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60" w:lineRule="exact"/>
        <w:ind w:left="0" w:leftChars="0" w:firstLine="640" w:firstLineChars="200"/>
        <w:textAlignment w:val="auto"/>
        <w:rPr>
          <w:rFonts w:ascii="宋体" w:hAnsi="宋体" w:cs="仿宋"/>
          <w:color w:val="000000" w:themeColor="text1"/>
          <w:sz w:val="32"/>
          <w:szCs w:val="32"/>
          <w:highlight w:val="none"/>
          <w14:textFill>
            <w14:solidFill>
              <w14:schemeClr w14:val="tx1"/>
            </w14:solidFill>
          </w14:textFill>
        </w:rPr>
      </w:pPr>
    </w:p>
    <w:bookmarkEnd w:id="1920"/>
    <w:bookmarkEnd w:id="1921"/>
    <w:p>
      <w:pPr>
        <w:pStyle w:val="2"/>
        <w:keepNext w:val="0"/>
        <w:keepLines w:val="0"/>
        <w:pageBreakBefore w:val="0"/>
        <w:widowControl w:val="0"/>
        <w:numPr>
          <w:ilvl w:val="255"/>
          <w:numId w:val="0"/>
        </w:numPr>
        <w:kinsoku w:val="0"/>
        <w:wordWrap/>
        <w:overflowPunct w:val="0"/>
        <w:topLinePunct w:val="0"/>
        <w:autoSpaceDE w:val="0"/>
        <w:autoSpaceDN w:val="0"/>
        <w:bidi w:val="0"/>
        <w:adjustRightInd w:val="0"/>
        <w:snapToGrid w:val="0"/>
        <w:spacing w:before="0" w:beforeLines="0" w:beforeAutospacing="0" w:after="0" w:afterLines="0" w:afterAutospacing="0" w:line="560" w:lineRule="exact"/>
        <w:ind w:left="0" w:leftChars="0"/>
        <w:jc w:val="center"/>
        <w:textAlignment w:val="auto"/>
        <w:rPr>
          <w:rFonts w:hint="eastAsia" w:eastAsia="黑体" w:asciiTheme="minorHAnsi" w:hAnsiTheme="minorHAnsi" w:cstheme="minorBidi"/>
          <w:b w:val="0"/>
          <w:bCs w:val="0"/>
          <w:color w:val="auto"/>
          <w:sz w:val="32"/>
          <w:szCs w:val="24"/>
          <w:highlight w:val="none"/>
        </w:rPr>
      </w:pPr>
      <w:bookmarkStart w:id="1922" w:name="_Toc526894810"/>
      <w:r>
        <w:rPr>
          <w:rFonts w:hint="eastAsia" w:eastAsia="黑体" w:asciiTheme="minorHAnsi" w:hAnsiTheme="minorHAnsi" w:cstheme="minorBidi"/>
          <w:b w:val="0"/>
          <w:bCs w:val="0"/>
          <w:color w:val="auto"/>
          <w:sz w:val="32"/>
          <w:szCs w:val="24"/>
          <w:highlight w:val="none"/>
        </w:rPr>
        <w:t>第三章  支持内容和标准</w:t>
      </w:r>
      <w:bookmarkEnd w:id="1922"/>
    </w:p>
    <w:p>
      <w:pPr>
        <w:pStyle w:val="2"/>
        <w:keepNext w:val="0"/>
        <w:keepLines w:val="0"/>
        <w:pageBreakBefore w:val="0"/>
        <w:widowControl w:val="0"/>
        <w:kinsoku w:val="0"/>
        <w:wordWrap/>
        <w:overflowPunct w:val="0"/>
        <w:topLinePunct w:val="0"/>
        <w:autoSpaceDE w:val="0"/>
        <w:autoSpaceDN w:val="0"/>
        <w:bidi w:val="0"/>
        <w:adjustRightInd w:val="0"/>
        <w:snapToGrid w:val="0"/>
        <w:spacing w:before="0" w:beforeLines="0" w:beforeAutospacing="0" w:after="0" w:afterLines="0" w:afterAutospacing="0" w:line="560" w:lineRule="exact"/>
        <w:ind w:left="0" w:leftChars="0" w:firstLine="640" w:firstLineChars="200"/>
        <w:jc w:val="left"/>
        <w:textAlignment w:val="auto"/>
        <w:rPr>
          <w:rFonts w:hint="eastAsia" w:eastAsia="黑体" w:asciiTheme="minorHAnsi" w:hAnsiTheme="minorHAnsi" w:cstheme="minorBidi"/>
          <w:b w:val="0"/>
          <w:bCs w:val="0"/>
          <w:color w:val="auto"/>
          <w:sz w:val="32"/>
          <w:szCs w:val="24"/>
          <w:highlight w:val="none"/>
        </w:rPr>
      </w:pPr>
    </w:p>
    <w:p>
      <w:pPr>
        <w:pStyle w:val="20"/>
        <w:keepNext w:val="0"/>
        <w:keepLines w:val="0"/>
        <w:pageBreakBefore w:val="0"/>
        <w:widowControl w:val="0"/>
        <w:numPr>
          <w:ilvl w:val="0"/>
          <w:numId w:val="0"/>
        </w:numPr>
        <w:tabs>
          <w:tab w:val="left" w:pos="0"/>
        </w:tabs>
        <w:wordWrap/>
        <w:topLinePunct w:val="0"/>
        <w:bidi w:val="0"/>
        <w:spacing w:beforeAutospacing="0" w:afterAutospacing="0" w:line="560" w:lineRule="exact"/>
        <w:ind w:left="0" w:leftChars="0" w:firstLine="640" w:firstLineChars="0"/>
        <w:textAlignment w:val="auto"/>
        <w:rPr>
          <w:rFonts w:hint="eastAsia" w:ascii="楷体_GB2312" w:hAnsi="楷体_GB2312" w:eastAsia="楷体_GB2312" w:cs="楷体_GB2312"/>
          <w:b/>
          <w:bCs w:val="0"/>
          <w:color w:val="auto"/>
          <w:sz w:val="32"/>
          <w:szCs w:val="24"/>
          <w:highlight w:val="none"/>
        </w:rPr>
      </w:pPr>
      <w:r>
        <w:rPr>
          <w:rFonts w:hint="eastAsia" w:ascii="楷体_GB2312" w:hAnsi="楷体_GB2312" w:eastAsia="楷体_GB2312" w:cs="楷体_GB2312"/>
          <w:b/>
          <w:bCs w:val="0"/>
          <w:color w:val="auto"/>
          <w:sz w:val="32"/>
          <w:szCs w:val="24"/>
          <w:highlight w:val="none"/>
        </w:rPr>
        <w:t xml:space="preserve">第四条 </w:t>
      </w:r>
      <w:r>
        <w:rPr>
          <w:rFonts w:hint="eastAsia" w:ascii="楷体_GB2312" w:hAnsi="楷体_GB2312" w:eastAsia="楷体_GB2312" w:cs="楷体_GB2312"/>
          <w:b/>
          <w:bCs w:val="0"/>
          <w:color w:val="auto"/>
          <w:sz w:val="32"/>
          <w:szCs w:val="24"/>
          <w:highlight w:val="none"/>
          <w:lang w:val="en-US" w:eastAsia="zh-CN"/>
        </w:rPr>
        <w:t xml:space="preserve"> </w:t>
      </w:r>
      <w:r>
        <w:rPr>
          <w:rFonts w:hint="eastAsia" w:ascii="楷体_GB2312" w:hAnsi="楷体_GB2312" w:eastAsia="楷体_GB2312" w:cs="楷体_GB2312"/>
          <w:b/>
          <w:bCs w:val="0"/>
          <w:color w:val="auto"/>
          <w:sz w:val="32"/>
          <w:szCs w:val="24"/>
          <w:highlight w:val="none"/>
        </w:rPr>
        <w:t>支持研发电竞游戏</w:t>
      </w:r>
    </w:p>
    <w:p>
      <w:pPr>
        <w:pStyle w:val="20"/>
        <w:keepNext w:val="0"/>
        <w:keepLines w:val="0"/>
        <w:pageBreakBefore w:val="0"/>
        <w:widowControl w:val="0"/>
        <w:tabs>
          <w:tab w:val="left" w:pos="0"/>
        </w:tabs>
        <w:wordWrap/>
        <w:topLinePunct w:val="0"/>
        <w:bidi w:val="0"/>
        <w:spacing w:beforeAutospacing="0" w:afterAutospacing="0" w:line="560" w:lineRule="exact"/>
        <w:ind w:left="0" w:leftChars="0" w:firstLine="643"/>
        <w:textAlignment w:val="auto"/>
        <w:rPr>
          <w:rFonts w:hint="eastAsia" w:ascii="仿宋_GB2312" w:hAnsi="Calibri" w:eastAsia="仿宋_GB2312" w:cs="Times New Roman"/>
          <w:b/>
          <w:bCs w:val="0"/>
          <w:sz w:val="32"/>
          <w:szCs w:val="24"/>
          <w:highlight w:val="none"/>
        </w:rPr>
      </w:pPr>
      <w:r>
        <w:rPr>
          <w:rFonts w:hint="eastAsia" w:ascii="仿宋_GB2312" w:hAnsi="Calibri" w:eastAsia="仿宋_GB2312" w:cs="Times New Roman"/>
          <w:b/>
          <w:color w:val="auto"/>
          <w:sz w:val="32"/>
          <w:szCs w:val="24"/>
          <w:highlight w:val="none"/>
        </w:rPr>
        <w:t>（一）电竞游戏产品开发</w:t>
      </w:r>
    </w:p>
    <w:p>
      <w:pPr>
        <w:pStyle w:val="20"/>
        <w:keepNext w:val="0"/>
        <w:keepLines w:val="0"/>
        <w:pageBreakBefore w:val="0"/>
        <w:widowControl w:val="0"/>
        <w:tabs>
          <w:tab w:val="left" w:pos="0"/>
        </w:tabs>
        <w:wordWrap/>
        <w:topLinePunct w:val="0"/>
        <w:bidi w:val="0"/>
        <w:spacing w:beforeAutospacing="0" w:afterAutospacing="0" w:line="560" w:lineRule="exact"/>
        <w:ind w:left="0" w:leftChars="0" w:firstLine="643"/>
        <w:textAlignment w:val="auto"/>
        <w:rPr>
          <w:rFonts w:ascii="仿宋_GB2312" w:hAnsi="仿宋_GB2312" w:eastAsia="仿宋_GB2312"/>
          <w:color w:val="000000" w:themeColor="text1"/>
          <w:sz w:val="32"/>
          <w:szCs w:val="32"/>
          <w:highlight w:val="none"/>
          <w14:textFill>
            <w14:solidFill>
              <w14:schemeClr w14:val="tx1"/>
            </w14:solidFill>
          </w14:textFill>
        </w:rPr>
      </w:pPr>
      <w:r>
        <w:rPr>
          <w:rFonts w:hint="eastAsia" w:ascii="仿宋_GB2312" w:hAnsi="宋体" w:eastAsia="仿宋_GB2312" w:cs="仿宋"/>
          <w:color w:val="000000" w:themeColor="text1"/>
          <w:sz w:val="32"/>
          <w:szCs w:val="32"/>
          <w:highlight w:val="none"/>
          <w14:textFill>
            <w14:solidFill>
              <w14:schemeClr w14:val="tx1"/>
            </w14:solidFill>
          </w14:textFill>
        </w:rPr>
        <w:t>支持游戏企业开发</w:t>
      </w:r>
      <w:r>
        <w:rPr>
          <w:rFonts w:hint="eastAsia" w:ascii="仿宋_GB2312" w:hAnsi="宋体" w:eastAsia="仿宋_GB2312"/>
          <w:color w:val="000000" w:themeColor="text1"/>
          <w:sz w:val="32"/>
          <w:szCs w:val="32"/>
          <w:highlight w:val="none"/>
          <w14:textFill>
            <w14:solidFill>
              <w14:schemeClr w14:val="tx1"/>
            </w14:solidFill>
          </w14:textFill>
        </w:rPr>
        <w:t>绿色健康、具有中国文化特色和南山元素的原创电竞游戏产品，按照运营首年度营收的10%给予奖励，</w:t>
      </w:r>
      <w:r>
        <w:rPr>
          <w:rFonts w:hint="eastAsia" w:ascii="仿宋_GB2312" w:hAnsi="宋体" w:eastAsia="仿宋_GB2312" w:cs="仿宋"/>
          <w:color w:val="000000" w:themeColor="text1"/>
          <w:sz w:val="32"/>
          <w:szCs w:val="32"/>
          <w:highlight w:val="none"/>
          <w14:textFill>
            <w14:solidFill>
              <w14:schemeClr w14:val="tx1"/>
            </w14:solidFill>
          </w14:textFill>
        </w:rPr>
        <w:t>每家单位每年不超过100万元</w:t>
      </w:r>
      <w:r>
        <w:rPr>
          <w:rFonts w:hint="eastAsia" w:ascii="仿宋_GB2312" w:hAnsi="宋体" w:eastAsia="仿宋_GB2312"/>
          <w:color w:val="000000" w:themeColor="text1"/>
          <w:sz w:val="32"/>
          <w:szCs w:val="32"/>
          <w:highlight w:val="none"/>
          <w14:textFill>
            <w14:solidFill>
              <w14:schemeClr w14:val="tx1"/>
            </w14:solidFill>
          </w14:textFill>
        </w:rPr>
        <w:t>。</w:t>
      </w:r>
    </w:p>
    <w:p>
      <w:pPr>
        <w:pStyle w:val="20"/>
        <w:keepNext w:val="0"/>
        <w:keepLines w:val="0"/>
        <w:pageBreakBefore w:val="0"/>
        <w:widowControl w:val="0"/>
        <w:tabs>
          <w:tab w:val="left" w:pos="0"/>
        </w:tabs>
        <w:wordWrap/>
        <w:topLinePunct w:val="0"/>
        <w:bidi w:val="0"/>
        <w:spacing w:beforeAutospacing="0" w:afterAutospacing="0" w:line="560" w:lineRule="exact"/>
        <w:ind w:left="0" w:leftChars="0" w:firstLine="643"/>
        <w:textAlignment w:val="auto"/>
        <w:rPr>
          <w:rFonts w:hint="eastAsia" w:ascii="仿宋_GB2312" w:hAnsi="Calibri" w:eastAsia="仿宋_GB2312" w:cs="Times New Roman"/>
          <w:b/>
          <w:bCs w:val="0"/>
          <w:sz w:val="32"/>
          <w:szCs w:val="24"/>
          <w:highlight w:val="none"/>
        </w:rPr>
      </w:pPr>
      <w:r>
        <w:rPr>
          <w:rFonts w:hint="eastAsia" w:ascii="仿宋_GB2312" w:hAnsi="Calibri" w:eastAsia="仿宋_GB2312" w:cs="Times New Roman"/>
          <w:b/>
          <w:color w:val="auto"/>
          <w:sz w:val="32"/>
          <w:szCs w:val="24"/>
          <w:highlight w:val="none"/>
        </w:rPr>
        <w:t>（二）电竞衍生内容开发</w:t>
      </w:r>
    </w:p>
    <w:p>
      <w:pPr>
        <w:pStyle w:val="20"/>
        <w:keepNext w:val="0"/>
        <w:keepLines w:val="0"/>
        <w:pageBreakBefore w:val="0"/>
        <w:widowControl w:val="0"/>
        <w:tabs>
          <w:tab w:val="left" w:pos="0"/>
        </w:tabs>
        <w:wordWrap/>
        <w:topLinePunct w:val="0"/>
        <w:bidi w:val="0"/>
        <w:spacing w:beforeAutospacing="0" w:afterAutospacing="0" w:line="560" w:lineRule="exact"/>
        <w:ind w:left="0" w:leftChars="0" w:firstLine="643"/>
        <w:textAlignment w:val="auto"/>
        <w:rPr>
          <w:rFonts w:ascii="仿宋_GB2312" w:hAnsi="仿宋" w:eastAsia="仿宋_GB2312" w:cs="仿宋"/>
          <w:color w:val="000000" w:themeColor="text1"/>
          <w:sz w:val="32"/>
          <w:szCs w:val="32"/>
          <w:highlight w:val="none"/>
          <w14:textFill>
            <w14:solidFill>
              <w14:schemeClr w14:val="tx1"/>
            </w14:solidFill>
          </w14:textFill>
        </w:rPr>
      </w:pPr>
      <w:r>
        <w:rPr>
          <w:rFonts w:hint="eastAsia" w:ascii="仿宋_GB2312" w:hAnsi="宋体" w:eastAsia="仿宋_GB2312" w:cs="仿宋"/>
          <w:color w:val="000000" w:themeColor="text1"/>
          <w:sz w:val="32"/>
          <w:szCs w:val="32"/>
          <w:highlight w:val="none"/>
          <w14:textFill>
            <w14:solidFill>
              <w14:schemeClr w14:val="tx1"/>
            </w14:solidFill>
          </w14:textFill>
        </w:rPr>
        <w:t>支持动漫和影视企业创作以电竞为主题的动漫、电影、电视剧、网络剧等，在院线、省级以上电视台或重点网络视频平台播出的，</w:t>
      </w:r>
      <w:r>
        <w:rPr>
          <w:rFonts w:hint="eastAsia" w:ascii="仿宋_GB2312" w:hAnsi="宋体" w:eastAsia="仿宋_GB2312"/>
          <w:color w:val="000000" w:themeColor="text1"/>
          <w:sz w:val="32"/>
          <w:szCs w:val="32"/>
          <w:highlight w:val="none"/>
          <w14:textFill>
            <w14:solidFill>
              <w14:schemeClr w14:val="tx1"/>
            </w14:solidFill>
          </w14:textFill>
        </w:rPr>
        <w:t>按照播出首年度营收的15%给予奖励，</w:t>
      </w:r>
      <w:r>
        <w:rPr>
          <w:rFonts w:hint="eastAsia" w:ascii="仿宋_GB2312" w:hAnsi="宋体" w:eastAsia="仿宋_GB2312" w:cs="仿宋"/>
          <w:color w:val="000000" w:themeColor="text1"/>
          <w:sz w:val="32"/>
          <w:szCs w:val="32"/>
          <w:highlight w:val="none"/>
          <w14:textFill>
            <w14:solidFill>
              <w14:schemeClr w14:val="tx1"/>
            </w14:solidFill>
          </w14:textFill>
        </w:rPr>
        <w:t>每家单位每年不超过100万元。</w:t>
      </w:r>
    </w:p>
    <w:p>
      <w:pPr>
        <w:pStyle w:val="20"/>
        <w:keepNext w:val="0"/>
        <w:keepLines w:val="0"/>
        <w:pageBreakBefore w:val="0"/>
        <w:widowControl w:val="0"/>
        <w:tabs>
          <w:tab w:val="left" w:pos="0"/>
        </w:tabs>
        <w:wordWrap/>
        <w:topLinePunct w:val="0"/>
        <w:bidi w:val="0"/>
        <w:spacing w:beforeAutospacing="0" w:afterAutospacing="0" w:line="560" w:lineRule="exact"/>
        <w:ind w:left="0" w:leftChars="0" w:firstLine="640"/>
        <w:textAlignment w:val="auto"/>
        <w:rPr>
          <w:rFonts w:hint="eastAsia" w:ascii="楷体_GB2312" w:hAnsi="楷体_GB2312" w:eastAsia="楷体_GB2312" w:cs="楷体_GB2312"/>
          <w:b/>
          <w:bCs w:val="0"/>
          <w:color w:val="auto"/>
          <w:sz w:val="32"/>
          <w:szCs w:val="24"/>
          <w:highlight w:val="none"/>
        </w:rPr>
      </w:pPr>
      <w:r>
        <w:rPr>
          <w:rFonts w:hint="eastAsia" w:ascii="楷体_GB2312" w:hAnsi="楷体_GB2312" w:eastAsia="楷体_GB2312" w:cs="楷体_GB2312"/>
          <w:b/>
          <w:bCs w:val="0"/>
          <w:color w:val="auto"/>
          <w:sz w:val="32"/>
          <w:szCs w:val="24"/>
          <w:highlight w:val="none"/>
        </w:rPr>
        <w:t xml:space="preserve">第五条 </w:t>
      </w:r>
      <w:r>
        <w:rPr>
          <w:rFonts w:hint="eastAsia" w:ascii="楷体_GB2312" w:hAnsi="楷体_GB2312" w:eastAsia="楷体_GB2312" w:cs="楷体_GB2312"/>
          <w:b/>
          <w:bCs w:val="0"/>
          <w:color w:val="auto"/>
          <w:sz w:val="32"/>
          <w:szCs w:val="24"/>
          <w:highlight w:val="none"/>
          <w:lang w:val="en-US" w:eastAsia="zh-CN"/>
        </w:rPr>
        <w:t xml:space="preserve"> </w:t>
      </w:r>
      <w:r>
        <w:rPr>
          <w:rFonts w:hint="eastAsia" w:ascii="楷体_GB2312" w:hAnsi="楷体_GB2312" w:eastAsia="楷体_GB2312" w:cs="楷体_GB2312"/>
          <w:b/>
          <w:bCs w:val="0"/>
          <w:color w:val="auto"/>
          <w:sz w:val="32"/>
          <w:szCs w:val="24"/>
          <w:highlight w:val="none"/>
        </w:rPr>
        <w:t>支持运营电竞俱乐部</w:t>
      </w:r>
    </w:p>
    <w:p>
      <w:pPr>
        <w:keepNext w:val="0"/>
        <w:keepLines w:val="0"/>
        <w:pageBreakBefore w:val="0"/>
        <w:widowControl w:val="0"/>
        <w:wordWrap/>
        <w:topLinePunct w:val="0"/>
        <w:bidi w:val="0"/>
        <w:spacing w:beforeAutospacing="0" w:afterAutospacing="0" w:line="560" w:lineRule="exact"/>
        <w:ind w:left="0" w:leftChars="0" w:firstLine="643" w:firstLineChars="200"/>
        <w:textAlignment w:val="auto"/>
        <w:rPr>
          <w:rFonts w:hint="eastAsia" w:ascii="仿宋_GB2312" w:hAnsi="Calibri" w:eastAsia="仿宋_GB2312" w:cs="Times New Roman"/>
          <w:b/>
          <w:sz w:val="32"/>
          <w:szCs w:val="24"/>
          <w:highlight w:val="none"/>
        </w:rPr>
      </w:pPr>
      <w:r>
        <w:rPr>
          <w:rFonts w:hint="eastAsia" w:ascii="仿宋_GB2312" w:hAnsi="Calibri" w:eastAsia="仿宋_GB2312" w:cs="Times New Roman"/>
          <w:b/>
          <w:bCs w:val="0"/>
          <w:color w:val="auto"/>
          <w:sz w:val="32"/>
          <w:szCs w:val="24"/>
          <w:highlight w:val="none"/>
        </w:rPr>
        <w:t>（一）电竞俱乐部落户</w:t>
      </w:r>
    </w:p>
    <w:p>
      <w:pPr>
        <w:keepNext w:val="0"/>
        <w:keepLines w:val="0"/>
        <w:pageBreakBefore w:val="0"/>
        <w:widowControl w:val="0"/>
        <w:wordWrap/>
        <w:topLinePunct w:val="0"/>
        <w:bidi w:val="0"/>
        <w:spacing w:beforeAutospacing="0" w:afterAutospacing="0" w:line="560" w:lineRule="exact"/>
        <w:ind w:left="0" w:leftChars="0"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s="仿宋"/>
          <w:color w:val="000000" w:themeColor="text1"/>
          <w:sz w:val="32"/>
          <w:szCs w:val="32"/>
          <w:highlight w:val="none"/>
          <w14:textFill>
            <w14:solidFill>
              <w14:schemeClr w14:val="tx1"/>
            </w14:solidFill>
          </w14:textFill>
        </w:rPr>
        <w:t>国际性/全国顶级职业杯赛/联赛</w:t>
      </w:r>
      <w:r>
        <w:rPr>
          <w:rFonts w:hint="eastAsia" w:ascii="仿宋_GB2312" w:hAnsi="宋体" w:eastAsia="仿宋_GB2312" w:cs="仿宋_GB2312"/>
          <w:color w:val="000000" w:themeColor="text1"/>
          <w:sz w:val="32"/>
          <w:szCs w:val="32"/>
          <w:highlight w:val="none"/>
          <w14:textFill>
            <w14:solidFill>
              <w14:schemeClr w14:val="tx1"/>
            </w14:solidFill>
          </w14:textFill>
        </w:rPr>
        <w:t>联盟俱乐部的主场落户，给予一次性奖励500万元。</w:t>
      </w:r>
    </w:p>
    <w:p>
      <w:pPr>
        <w:keepNext w:val="0"/>
        <w:keepLines w:val="0"/>
        <w:pageBreakBefore w:val="0"/>
        <w:widowControl w:val="0"/>
        <w:wordWrap/>
        <w:topLinePunct w:val="0"/>
        <w:bidi w:val="0"/>
        <w:spacing w:beforeAutospacing="0" w:afterAutospacing="0" w:line="560" w:lineRule="exact"/>
        <w:ind w:left="0" w:leftChars="0" w:firstLine="643" w:firstLineChars="200"/>
        <w:textAlignment w:val="auto"/>
        <w:rPr>
          <w:rFonts w:hint="eastAsia" w:ascii="仿宋_GB2312" w:hAnsi="Calibri" w:eastAsia="仿宋_GB2312" w:cs="Times New Roman"/>
          <w:b/>
          <w:bCs w:val="0"/>
          <w:sz w:val="32"/>
          <w:szCs w:val="24"/>
          <w:highlight w:val="none"/>
        </w:rPr>
      </w:pPr>
      <w:r>
        <w:rPr>
          <w:rFonts w:hint="eastAsia" w:ascii="仿宋_GB2312" w:hAnsi="Calibri" w:eastAsia="仿宋_GB2312" w:cs="Times New Roman"/>
          <w:b/>
          <w:bCs w:val="0"/>
          <w:color w:val="auto"/>
          <w:sz w:val="32"/>
          <w:szCs w:val="24"/>
          <w:highlight w:val="none"/>
        </w:rPr>
        <w:t>（二）电竞俱乐部运营</w:t>
      </w:r>
    </w:p>
    <w:p>
      <w:pPr>
        <w:keepNext w:val="0"/>
        <w:keepLines w:val="0"/>
        <w:pageBreakBefore w:val="0"/>
        <w:widowControl w:val="0"/>
        <w:wordWrap/>
        <w:topLinePunct w:val="0"/>
        <w:bidi w:val="0"/>
        <w:spacing w:beforeAutospacing="0" w:afterAutospacing="0" w:line="560" w:lineRule="exact"/>
        <w:ind w:left="0" w:leftChars="0" w:firstLine="640" w:firstLineChars="200"/>
        <w:textAlignment w:val="auto"/>
        <w:rPr>
          <w:rFonts w:ascii="仿宋_GB2312" w:hAnsi="仿宋" w:eastAsia="仿宋_GB2312" w:cs="仿宋"/>
          <w:color w:val="000000" w:themeColor="text1"/>
          <w:sz w:val="32"/>
          <w:szCs w:val="32"/>
          <w:highlight w:val="none"/>
          <w14:textFill>
            <w14:solidFill>
              <w14:schemeClr w14:val="tx1"/>
            </w14:solidFill>
          </w14:textFill>
        </w:rPr>
      </w:pPr>
      <w:r>
        <w:rPr>
          <w:rFonts w:hint="eastAsia" w:ascii="仿宋_GB2312" w:hAnsi="宋体" w:eastAsia="仿宋_GB2312" w:cs="仿宋_GB2312"/>
          <w:color w:val="000000" w:themeColor="text1"/>
          <w:sz w:val="32"/>
          <w:szCs w:val="32"/>
          <w:highlight w:val="none"/>
          <w14:textFill>
            <w14:solidFill>
              <w14:schemeClr w14:val="tx1"/>
            </w14:solidFill>
          </w14:textFill>
        </w:rPr>
        <w:t>对落户南山的国内外顶级电竞俱乐部，按照实际培训和运动员身心康复费、商业保险费给予50%的补贴，每个俱乐部每年不超过50万元。</w:t>
      </w:r>
    </w:p>
    <w:p>
      <w:pPr>
        <w:keepNext w:val="0"/>
        <w:keepLines w:val="0"/>
        <w:pageBreakBefore w:val="0"/>
        <w:widowControl w:val="0"/>
        <w:wordWrap/>
        <w:topLinePunct w:val="0"/>
        <w:bidi w:val="0"/>
        <w:spacing w:beforeAutospacing="0" w:afterAutospacing="0" w:line="560" w:lineRule="exact"/>
        <w:ind w:left="0" w:leftChars="0" w:firstLine="643" w:firstLineChars="200"/>
        <w:textAlignment w:val="auto"/>
        <w:rPr>
          <w:rFonts w:hint="eastAsia" w:ascii="仿宋_GB2312" w:hAnsi="Calibri" w:eastAsia="仿宋_GB2312" w:cs="Times New Roman"/>
          <w:b/>
          <w:sz w:val="32"/>
          <w:szCs w:val="24"/>
          <w:highlight w:val="none"/>
        </w:rPr>
      </w:pPr>
      <w:r>
        <w:rPr>
          <w:rFonts w:hint="eastAsia" w:ascii="仿宋_GB2312" w:hAnsi="Calibri" w:eastAsia="仿宋_GB2312" w:cs="Times New Roman"/>
          <w:b/>
          <w:bCs w:val="0"/>
          <w:color w:val="auto"/>
          <w:sz w:val="32"/>
          <w:szCs w:val="24"/>
          <w:highlight w:val="none"/>
        </w:rPr>
        <w:t>（三）电竞俱乐部参赛获奖</w:t>
      </w:r>
    </w:p>
    <w:p>
      <w:pPr>
        <w:keepNext w:val="0"/>
        <w:keepLines w:val="0"/>
        <w:pageBreakBefore w:val="0"/>
        <w:widowControl w:val="0"/>
        <w:wordWrap/>
        <w:topLinePunct w:val="0"/>
        <w:bidi w:val="0"/>
        <w:spacing w:beforeAutospacing="0" w:afterAutospacing="0" w:line="560" w:lineRule="exact"/>
        <w:ind w:left="0" w:leftChars="0" w:firstLine="640" w:firstLineChars="200"/>
        <w:textAlignment w:val="auto"/>
        <w:rPr>
          <w:rFonts w:ascii="仿宋_GB2312" w:hAnsi="仿宋" w:eastAsia="仿宋_GB2312" w:cs="仿宋"/>
          <w:color w:val="000000" w:themeColor="text1"/>
          <w:sz w:val="32"/>
          <w:szCs w:val="32"/>
          <w:highlight w:val="none"/>
          <w14:textFill>
            <w14:solidFill>
              <w14:schemeClr w14:val="tx1"/>
            </w14:solidFill>
          </w14:textFill>
        </w:rPr>
      </w:pPr>
      <w:r>
        <w:rPr>
          <w:rFonts w:hint="eastAsia" w:ascii="仿宋_GB2312" w:hAnsi="宋体" w:eastAsia="仿宋_GB2312" w:cs="仿宋"/>
          <w:color w:val="000000" w:themeColor="text1"/>
          <w:sz w:val="32"/>
          <w:szCs w:val="32"/>
          <w:highlight w:val="none"/>
          <w14:textFill>
            <w14:solidFill>
              <w14:schemeClr w14:val="tx1"/>
            </w14:solidFill>
          </w14:textFill>
        </w:rPr>
        <w:t>对电竞俱乐部或俱乐部成员参加国际性/全国顶级职业杯赛/联赛，或政府举办的高水平、综合性运动会电竞赛事，按所获比赛名次给予俱乐部不超过100万元奖励，每个俱乐部每年不超过</w:t>
      </w:r>
      <w:r>
        <w:rPr>
          <w:rFonts w:ascii="仿宋_GB2312" w:hAnsi="宋体" w:eastAsia="仿宋_GB2312" w:cs="仿宋"/>
          <w:color w:val="000000" w:themeColor="text1"/>
          <w:sz w:val="32"/>
          <w:szCs w:val="32"/>
          <w:highlight w:val="none"/>
          <w14:textFill>
            <w14:solidFill>
              <w14:schemeClr w14:val="tx1"/>
            </w14:solidFill>
          </w14:textFill>
        </w:rPr>
        <w:t>2</w:t>
      </w:r>
      <w:r>
        <w:rPr>
          <w:rFonts w:hint="eastAsia" w:ascii="仿宋_GB2312" w:hAnsi="宋体" w:eastAsia="仿宋_GB2312" w:cs="仿宋"/>
          <w:color w:val="000000" w:themeColor="text1"/>
          <w:sz w:val="32"/>
          <w:szCs w:val="32"/>
          <w:highlight w:val="none"/>
          <w14:textFill>
            <w14:solidFill>
              <w14:schemeClr w14:val="tx1"/>
            </w14:solidFill>
          </w14:textFill>
        </w:rPr>
        <w:t>00万元。</w:t>
      </w:r>
    </w:p>
    <w:p>
      <w:pPr>
        <w:pStyle w:val="20"/>
        <w:keepNext w:val="0"/>
        <w:keepLines w:val="0"/>
        <w:pageBreakBefore w:val="0"/>
        <w:widowControl w:val="0"/>
        <w:tabs>
          <w:tab w:val="left" w:pos="0"/>
        </w:tabs>
        <w:wordWrap/>
        <w:topLinePunct w:val="0"/>
        <w:bidi w:val="0"/>
        <w:spacing w:beforeAutospacing="0" w:afterAutospacing="0" w:line="560" w:lineRule="exact"/>
        <w:ind w:left="0" w:leftChars="0" w:firstLine="643" w:firstLineChars="200"/>
        <w:textAlignment w:val="auto"/>
        <w:rPr>
          <w:rFonts w:hint="eastAsia" w:ascii="楷体_GB2312" w:hAnsi="楷体_GB2312" w:eastAsia="楷体_GB2312" w:cs="楷体_GB2312"/>
          <w:b/>
          <w:bCs w:val="0"/>
          <w:color w:val="auto"/>
          <w:sz w:val="32"/>
          <w:szCs w:val="24"/>
          <w:highlight w:val="none"/>
        </w:rPr>
      </w:pPr>
      <w:r>
        <w:rPr>
          <w:rFonts w:hint="eastAsia" w:ascii="楷体_GB2312" w:hAnsi="楷体_GB2312" w:eastAsia="楷体_GB2312" w:cs="楷体_GB2312"/>
          <w:b/>
          <w:bCs w:val="0"/>
          <w:color w:val="auto"/>
          <w:sz w:val="32"/>
          <w:szCs w:val="24"/>
          <w:highlight w:val="none"/>
        </w:rPr>
        <w:t xml:space="preserve">第六条 </w:t>
      </w:r>
      <w:r>
        <w:rPr>
          <w:rFonts w:hint="eastAsia" w:ascii="楷体_GB2312" w:hAnsi="楷体_GB2312" w:eastAsia="楷体_GB2312" w:cs="楷体_GB2312"/>
          <w:b/>
          <w:bCs w:val="0"/>
          <w:color w:val="auto"/>
          <w:sz w:val="32"/>
          <w:szCs w:val="24"/>
          <w:highlight w:val="none"/>
          <w:lang w:val="en-US" w:eastAsia="zh-CN"/>
        </w:rPr>
        <w:t xml:space="preserve"> </w:t>
      </w:r>
      <w:r>
        <w:rPr>
          <w:rFonts w:hint="eastAsia" w:ascii="楷体_GB2312" w:hAnsi="楷体_GB2312" w:eastAsia="楷体_GB2312" w:cs="楷体_GB2312"/>
          <w:b/>
          <w:bCs w:val="0"/>
          <w:color w:val="auto"/>
          <w:sz w:val="32"/>
          <w:szCs w:val="24"/>
          <w:highlight w:val="none"/>
        </w:rPr>
        <w:t>支持举办电竞赛事</w:t>
      </w:r>
    </w:p>
    <w:p>
      <w:pPr>
        <w:keepNext w:val="0"/>
        <w:keepLines w:val="0"/>
        <w:pageBreakBefore w:val="0"/>
        <w:widowControl w:val="0"/>
        <w:wordWrap/>
        <w:topLinePunct w:val="0"/>
        <w:bidi w:val="0"/>
        <w:spacing w:beforeAutospacing="0" w:afterAutospacing="0" w:line="560" w:lineRule="exact"/>
        <w:ind w:left="0" w:leftChars="0" w:firstLine="643" w:firstLineChars="200"/>
        <w:textAlignment w:val="auto"/>
        <w:rPr>
          <w:rFonts w:hint="eastAsia" w:ascii="仿宋_GB2312" w:hAnsi="Calibri" w:eastAsia="仿宋_GB2312" w:cs="Times New Roman"/>
          <w:b/>
          <w:sz w:val="32"/>
          <w:szCs w:val="24"/>
          <w:highlight w:val="none"/>
        </w:rPr>
      </w:pPr>
      <w:r>
        <w:rPr>
          <w:rFonts w:hint="eastAsia" w:ascii="仿宋_GB2312" w:hAnsi="Calibri" w:eastAsia="仿宋_GB2312" w:cs="Times New Roman"/>
          <w:b/>
          <w:bCs w:val="0"/>
          <w:color w:val="auto"/>
          <w:sz w:val="32"/>
          <w:szCs w:val="24"/>
          <w:highlight w:val="none"/>
        </w:rPr>
        <w:t>（一）承办政府主办的重大电竞赛事</w:t>
      </w:r>
    </w:p>
    <w:p>
      <w:pPr>
        <w:keepNext w:val="0"/>
        <w:keepLines w:val="0"/>
        <w:pageBreakBefore w:val="0"/>
        <w:widowControl w:val="0"/>
        <w:wordWrap/>
        <w:topLinePunct w:val="0"/>
        <w:bidi w:val="0"/>
        <w:spacing w:beforeAutospacing="0" w:afterAutospacing="0" w:line="560" w:lineRule="exact"/>
        <w:ind w:left="0" w:leftChars="0" w:firstLine="640" w:firstLineChars="200"/>
        <w:textAlignment w:val="auto"/>
        <w:rPr>
          <w:rFonts w:ascii="仿宋_GB2312" w:hAnsi="仿宋" w:eastAsia="仿宋_GB2312" w:cs="仿宋"/>
          <w:color w:val="000000" w:themeColor="text1"/>
          <w:sz w:val="32"/>
          <w:szCs w:val="32"/>
          <w:highlight w:val="none"/>
          <w14:textFill>
            <w14:solidFill>
              <w14:schemeClr w14:val="tx1"/>
            </w14:solidFill>
          </w14:textFill>
        </w:rPr>
      </w:pPr>
      <w:r>
        <w:rPr>
          <w:rFonts w:hint="eastAsia" w:ascii="仿宋_GB2312" w:hAnsi="宋体" w:eastAsia="仿宋_GB2312" w:cs="仿宋"/>
          <w:color w:val="000000" w:themeColor="text1"/>
          <w:sz w:val="32"/>
          <w:szCs w:val="32"/>
          <w:highlight w:val="none"/>
          <w14:textFill>
            <w14:solidFill>
              <w14:schemeClr w14:val="tx1"/>
            </w14:solidFill>
          </w14:textFill>
        </w:rPr>
        <w:t>支持行业协会、专业机构和企业承办南山区政府组织举办的重大电竞赛事，每个赛事给予资助不超过800万元。</w:t>
      </w:r>
    </w:p>
    <w:p>
      <w:pPr>
        <w:keepNext w:val="0"/>
        <w:keepLines w:val="0"/>
        <w:pageBreakBefore w:val="0"/>
        <w:widowControl w:val="0"/>
        <w:wordWrap/>
        <w:topLinePunct w:val="0"/>
        <w:bidi w:val="0"/>
        <w:spacing w:beforeAutospacing="0" w:afterAutospacing="0" w:line="560" w:lineRule="exact"/>
        <w:ind w:left="0" w:leftChars="0" w:firstLine="643" w:firstLineChars="200"/>
        <w:textAlignment w:val="auto"/>
        <w:rPr>
          <w:rFonts w:hint="eastAsia" w:ascii="仿宋_GB2312" w:hAnsi="Calibri" w:eastAsia="仿宋_GB2312" w:cs="Times New Roman"/>
          <w:b/>
          <w:sz w:val="32"/>
          <w:szCs w:val="24"/>
          <w:highlight w:val="none"/>
        </w:rPr>
      </w:pPr>
      <w:r>
        <w:rPr>
          <w:rFonts w:hint="eastAsia" w:ascii="仿宋_GB2312" w:hAnsi="Calibri" w:eastAsia="仿宋_GB2312" w:cs="Times New Roman"/>
          <w:b/>
          <w:bCs w:val="0"/>
          <w:color w:val="auto"/>
          <w:sz w:val="32"/>
          <w:szCs w:val="24"/>
          <w:highlight w:val="none"/>
        </w:rPr>
        <w:t>（二）举办职业电竞赛事和特色电竞赛事</w:t>
      </w:r>
    </w:p>
    <w:p>
      <w:pPr>
        <w:keepNext w:val="0"/>
        <w:keepLines w:val="0"/>
        <w:pageBreakBefore w:val="0"/>
        <w:widowControl w:val="0"/>
        <w:wordWrap/>
        <w:topLinePunct w:val="0"/>
        <w:bidi w:val="0"/>
        <w:spacing w:beforeAutospacing="0" w:afterAutospacing="0" w:line="560" w:lineRule="exact"/>
        <w:ind w:left="0" w:leftChars="0" w:firstLine="640" w:firstLineChars="200"/>
        <w:textAlignment w:val="auto"/>
        <w:rPr>
          <w:rFonts w:ascii="仿宋_GB2312" w:hAnsi="仿宋" w:eastAsia="仿宋_GB2312" w:cs="仿宋"/>
          <w:color w:val="000000" w:themeColor="text1"/>
          <w:sz w:val="32"/>
          <w:szCs w:val="32"/>
          <w:highlight w:val="none"/>
          <w14:textFill>
            <w14:solidFill>
              <w14:schemeClr w14:val="tx1"/>
            </w14:solidFill>
          </w14:textFill>
        </w:rPr>
      </w:pPr>
      <w:r>
        <w:rPr>
          <w:rFonts w:hint="eastAsia" w:ascii="仿宋_GB2312" w:hAnsi="宋体" w:eastAsia="仿宋_GB2312" w:cs="仿宋"/>
          <w:color w:val="000000" w:themeColor="text1"/>
          <w:sz w:val="32"/>
          <w:szCs w:val="32"/>
          <w:highlight w:val="none"/>
          <w14:textFill>
            <w14:solidFill>
              <w14:schemeClr w14:val="tx1"/>
            </w14:solidFill>
          </w14:textFill>
        </w:rPr>
        <w:t>支持行业协会、专业机构和企业举办国际性/全国顶级职业杯赛/联赛，或高校类、区域类、联盟主场赛事等特色电竞赛事，每个赛事按照实际发生费用50%的比例，给予资助不超过500万元，每家单位每年不超过</w:t>
      </w:r>
      <w:r>
        <w:rPr>
          <w:rFonts w:ascii="仿宋_GB2312" w:hAnsi="宋体" w:eastAsia="仿宋_GB2312" w:cs="仿宋"/>
          <w:color w:val="000000" w:themeColor="text1"/>
          <w:sz w:val="32"/>
          <w:szCs w:val="32"/>
          <w:highlight w:val="none"/>
          <w14:textFill>
            <w14:solidFill>
              <w14:schemeClr w14:val="tx1"/>
            </w14:solidFill>
          </w14:textFill>
        </w:rPr>
        <w:t>10</w:t>
      </w:r>
      <w:r>
        <w:rPr>
          <w:rFonts w:hint="eastAsia" w:ascii="仿宋_GB2312" w:hAnsi="宋体" w:eastAsia="仿宋_GB2312" w:cs="仿宋"/>
          <w:color w:val="000000" w:themeColor="text1"/>
          <w:sz w:val="32"/>
          <w:szCs w:val="32"/>
          <w:highlight w:val="none"/>
          <w14:textFill>
            <w14:solidFill>
              <w14:schemeClr w14:val="tx1"/>
            </w14:solidFill>
          </w14:textFill>
        </w:rPr>
        <w:t>00万元。</w:t>
      </w:r>
    </w:p>
    <w:p>
      <w:pPr>
        <w:pStyle w:val="20"/>
        <w:keepNext w:val="0"/>
        <w:keepLines w:val="0"/>
        <w:pageBreakBefore w:val="0"/>
        <w:widowControl w:val="0"/>
        <w:tabs>
          <w:tab w:val="left" w:pos="0"/>
        </w:tabs>
        <w:wordWrap/>
        <w:topLinePunct w:val="0"/>
        <w:bidi w:val="0"/>
        <w:spacing w:beforeAutospacing="0" w:afterAutospacing="0" w:line="560" w:lineRule="exact"/>
        <w:ind w:left="0" w:leftChars="0" w:firstLine="643" w:firstLineChars="200"/>
        <w:textAlignment w:val="auto"/>
        <w:rPr>
          <w:rFonts w:hint="eastAsia" w:ascii="楷体_GB2312" w:hAnsi="楷体_GB2312" w:eastAsia="楷体_GB2312" w:cs="楷体_GB2312"/>
          <w:b/>
          <w:bCs w:val="0"/>
          <w:color w:val="auto"/>
          <w:sz w:val="32"/>
          <w:szCs w:val="24"/>
          <w:highlight w:val="none"/>
        </w:rPr>
      </w:pPr>
      <w:r>
        <w:rPr>
          <w:rFonts w:hint="eastAsia" w:ascii="楷体_GB2312" w:hAnsi="楷体_GB2312" w:eastAsia="楷体_GB2312" w:cs="楷体_GB2312"/>
          <w:b/>
          <w:bCs w:val="0"/>
          <w:color w:val="auto"/>
          <w:sz w:val="32"/>
          <w:szCs w:val="24"/>
          <w:highlight w:val="none"/>
        </w:rPr>
        <w:t xml:space="preserve">第七条 </w:t>
      </w:r>
      <w:r>
        <w:rPr>
          <w:rFonts w:hint="eastAsia" w:ascii="楷体_GB2312" w:hAnsi="楷体_GB2312" w:eastAsia="楷体_GB2312" w:cs="楷体_GB2312"/>
          <w:b/>
          <w:bCs w:val="0"/>
          <w:color w:val="auto"/>
          <w:sz w:val="32"/>
          <w:szCs w:val="24"/>
          <w:highlight w:val="none"/>
          <w:lang w:val="en-US" w:eastAsia="zh-CN"/>
        </w:rPr>
        <w:t xml:space="preserve"> </w:t>
      </w:r>
      <w:r>
        <w:rPr>
          <w:rFonts w:hint="eastAsia" w:ascii="楷体_GB2312" w:hAnsi="楷体_GB2312" w:eastAsia="楷体_GB2312" w:cs="楷体_GB2312"/>
          <w:b/>
          <w:bCs w:val="0"/>
          <w:color w:val="auto"/>
          <w:sz w:val="32"/>
          <w:szCs w:val="24"/>
          <w:highlight w:val="none"/>
        </w:rPr>
        <w:t>支持举办电竞产业活动</w:t>
      </w:r>
    </w:p>
    <w:p>
      <w:pPr>
        <w:keepNext w:val="0"/>
        <w:keepLines w:val="0"/>
        <w:pageBreakBefore w:val="0"/>
        <w:widowControl w:val="0"/>
        <w:wordWrap/>
        <w:topLinePunct w:val="0"/>
        <w:bidi w:val="0"/>
        <w:spacing w:beforeAutospacing="0" w:afterAutospacing="0" w:line="560" w:lineRule="exact"/>
        <w:ind w:left="0" w:leftChars="0" w:firstLine="643" w:firstLineChars="200"/>
        <w:textAlignment w:val="auto"/>
        <w:rPr>
          <w:rFonts w:hint="eastAsia" w:ascii="仿宋_GB2312" w:hAnsi="Calibri" w:eastAsia="仿宋_GB2312" w:cs="Times New Roman"/>
          <w:b/>
          <w:sz w:val="32"/>
          <w:szCs w:val="24"/>
          <w:highlight w:val="none"/>
        </w:rPr>
      </w:pPr>
      <w:r>
        <w:rPr>
          <w:rFonts w:hint="eastAsia" w:ascii="仿宋_GB2312" w:hAnsi="Calibri" w:eastAsia="仿宋_GB2312" w:cs="Times New Roman"/>
          <w:b/>
          <w:bCs w:val="0"/>
          <w:color w:val="auto"/>
          <w:sz w:val="32"/>
          <w:szCs w:val="24"/>
          <w:highlight w:val="none"/>
        </w:rPr>
        <w:t>（一）承办政府主办的重大电竞产业活动</w:t>
      </w:r>
    </w:p>
    <w:p>
      <w:pPr>
        <w:keepNext w:val="0"/>
        <w:keepLines w:val="0"/>
        <w:pageBreakBefore w:val="0"/>
        <w:widowControl w:val="0"/>
        <w:wordWrap/>
        <w:topLinePunct w:val="0"/>
        <w:bidi w:val="0"/>
        <w:spacing w:beforeAutospacing="0" w:afterAutospacing="0" w:line="560" w:lineRule="exact"/>
        <w:ind w:left="0" w:leftChars="0" w:firstLine="640" w:firstLineChars="200"/>
        <w:textAlignment w:val="auto"/>
        <w:rPr>
          <w:rFonts w:ascii="仿宋_GB2312" w:hAnsi="仿宋" w:eastAsia="仿宋_GB2312" w:cs="仿宋"/>
          <w:color w:val="000000" w:themeColor="text1"/>
          <w:sz w:val="32"/>
          <w:szCs w:val="32"/>
          <w:highlight w:val="none"/>
          <w14:textFill>
            <w14:solidFill>
              <w14:schemeClr w14:val="tx1"/>
            </w14:solidFill>
          </w14:textFill>
        </w:rPr>
      </w:pPr>
      <w:r>
        <w:rPr>
          <w:rFonts w:hint="eastAsia" w:ascii="仿宋_GB2312" w:hAnsi="宋体" w:eastAsia="仿宋_GB2312" w:cs="仿宋"/>
          <w:color w:val="000000" w:themeColor="text1"/>
          <w:sz w:val="32"/>
          <w:szCs w:val="32"/>
          <w:highlight w:val="none"/>
          <w14:textFill>
            <w14:solidFill>
              <w14:schemeClr w14:val="tx1"/>
            </w14:solidFill>
          </w14:textFill>
        </w:rPr>
        <w:t>支持行业协会、专业机构和企业承办南山区政府组织举办的重大电竞产业展会、论坛活动，每个活动给予资助不超过800万元。</w:t>
      </w:r>
    </w:p>
    <w:p>
      <w:pPr>
        <w:keepNext w:val="0"/>
        <w:keepLines w:val="0"/>
        <w:pageBreakBefore w:val="0"/>
        <w:widowControl w:val="0"/>
        <w:wordWrap/>
        <w:topLinePunct w:val="0"/>
        <w:bidi w:val="0"/>
        <w:spacing w:beforeAutospacing="0" w:afterAutospacing="0" w:line="560" w:lineRule="exact"/>
        <w:ind w:left="0" w:leftChars="0" w:firstLine="643" w:firstLineChars="200"/>
        <w:textAlignment w:val="auto"/>
        <w:rPr>
          <w:rFonts w:hint="eastAsia" w:ascii="仿宋_GB2312" w:hAnsi="Calibri" w:eastAsia="仿宋_GB2312" w:cs="Times New Roman"/>
          <w:b/>
          <w:bCs w:val="0"/>
          <w:sz w:val="32"/>
          <w:szCs w:val="24"/>
          <w:highlight w:val="none"/>
        </w:rPr>
      </w:pPr>
      <w:r>
        <w:rPr>
          <w:rFonts w:hint="eastAsia" w:ascii="仿宋_GB2312" w:hAnsi="Calibri" w:eastAsia="仿宋_GB2312" w:cs="Times New Roman"/>
          <w:b/>
          <w:bCs w:val="0"/>
          <w:color w:val="auto"/>
          <w:sz w:val="32"/>
          <w:szCs w:val="24"/>
          <w:highlight w:val="none"/>
        </w:rPr>
        <w:t>（二）举办特色电竞产业活动</w:t>
      </w:r>
    </w:p>
    <w:p>
      <w:pPr>
        <w:keepNext w:val="0"/>
        <w:keepLines w:val="0"/>
        <w:pageBreakBefore w:val="0"/>
        <w:widowControl w:val="0"/>
        <w:wordWrap/>
        <w:topLinePunct w:val="0"/>
        <w:bidi w:val="0"/>
        <w:spacing w:beforeAutospacing="0" w:afterAutospacing="0" w:line="560" w:lineRule="exact"/>
        <w:ind w:left="0" w:leftChars="0" w:firstLine="640" w:firstLineChars="200"/>
        <w:textAlignment w:val="auto"/>
        <w:rPr>
          <w:rFonts w:ascii="仿宋_GB2312" w:hAnsi="仿宋" w:eastAsia="仿宋_GB2312" w:cs="仿宋"/>
          <w:color w:val="000000" w:themeColor="text1"/>
          <w:sz w:val="32"/>
          <w:szCs w:val="32"/>
          <w:highlight w:val="none"/>
          <w14:textFill>
            <w14:solidFill>
              <w14:schemeClr w14:val="tx1"/>
            </w14:solidFill>
          </w14:textFill>
        </w:rPr>
      </w:pPr>
      <w:r>
        <w:rPr>
          <w:rFonts w:hint="eastAsia" w:ascii="仿宋_GB2312" w:hAnsi="宋体" w:eastAsia="仿宋_GB2312" w:cs="仿宋"/>
          <w:color w:val="000000" w:themeColor="text1"/>
          <w:sz w:val="32"/>
          <w:szCs w:val="32"/>
          <w:highlight w:val="none"/>
          <w14:textFill>
            <w14:solidFill>
              <w14:schemeClr w14:val="tx1"/>
            </w14:solidFill>
          </w14:textFill>
        </w:rPr>
        <w:t>支持行业协会、专业机构和企业举办符合南山电竞产业发展方向，具备一定规模和影响力，有助于推动南山电竞产业发展的电竞产业展会、论坛等特色活动，每个按不超过实际发生费用50%的比例给予资助，每家单位每年不超过200万元。</w:t>
      </w:r>
    </w:p>
    <w:p>
      <w:pPr>
        <w:pStyle w:val="20"/>
        <w:keepNext w:val="0"/>
        <w:keepLines w:val="0"/>
        <w:pageBreakBefore w:val="0"/>
        <w:widowControl w:val="0"/>
        <w:tabs>
          <w:tab w:val="left" w:pos="0"/>
        </w:tabs>
        <w:wordWrap/>
        <w:topLinePunct w:val="0"/>
        <w:bidi w:val="0"/>
        <w:spacing w:beforeAutospacing="0" w:afterAutospacing="0" w:line="560" w:lineRule="exact"/>
        <w:ind w:left="0" w:leftChars="0" w:firstLine="0"/>
        <w:textAlignment w:val="auto"/>
        <w:rPr>
          <w:rFonts w:hint="eastAsia" w:ascii="楷体_GB2312" w:hAnsi="楷体_GB2312" w:eastAsia="楷体_GB2312" w:cs="楷体_GB2312"/>
          <w:b/>
          <w:bCs w:val="0"/>
          <w:color w:val="auto"/>
          <w:sz w:val="32"/>
          <w:szCs w:val="24"/>
          <w:highlight w:val="none"/>
        </w:rPr>
      </w:pPr>
      <w:bookmarkStart w:id="1923" w:name="_Toc526894816"/>
      <w:r>
        <w:rPr>
          <w:rFonts w:hint="eastAsia" w:ascii="楷体_GB2312" w:hAnsi="楷体_GB2312" w:eastAsia="楷体_GB2312" w:cs="楷体_GB2312"/>
          <w:b/>
          <w:bCs w:val="0"/>
          <w:color w:val="auto"/>
          <w:sz w:val="32"/>
          <w:szCs w:val="24"/>
          <w:highlight w:val="none"/>
        </w:rPr>
        <w:t xml:space="preserve">第八条 </w:t>
      </w:r>
      <w:bookmarkEnd w:id="1923"/>
      <w:r>
        <w:rPr>
          <w:rFonts w:hint="eastAsia" w:ascii="楷体_GB2312" w:hAnsi="楷体_GB2312" w:eastAsia="楷体_GB2312" w:cs="楷体_GB2312"/>
          <w:b/>
          <w:bCs w:val="0"/>
          <w:color w:val="auto"/>
          <w:sz w:val="32"/>
          <w:szCs w:val="24"/>
          <w:highlight w:val="none"/>
          <w:lang w:val="en-US" w:eastAsia="zh-CN"/>
        </w:rPr>
        <w:t xml:space="preserve"> </w:t>
      </w:r>
      <w:r>
        <w:rPr>
          <w:rFonts w:hint="eastAsia" w:ascii="楷体_GB2312" w:hAnsi="楷体_GB2312" w:eastAsia="楷体_GB2312" w:cs="楷体_GB2312"/>
          <w:b/>
          <w:bCs w:val="0"/>
          <w:color w:val="auto"/>
          <w:sz w:val="32"/>
          <w:szCs w:val="24"/>
          <w:highlight w:val="none"/>
        </w:rPr>
        <w:t>支持建设电竞场馆</w:t>
      </w:r>
    </w:p>
    <w:p>
      <w:pPr>
        <w:pStyle w:val="20"/>
        <w:keepNext w:val="0"/>
        <w:keepLines w:val="0"/>
        <w:pageBreakBefore w:val="0"/>
        <w:widowControl w:val="0"/>
        <w:tabs>
          <w:tab w:val="left" w:pos="0"/>
        </w:tabs>
        <w:wordWrap/>
        <w:topLinePunct w:val="0"/>
        <w:bidi w:val="0"/>
        <w:spacing w:beforeAutospacing="0" w:afterAutospacing="0" w:line="560" w:lineRule="exact"/>
        <w:ind w:left="0" w:leftChars="0" w:firstLine="640"/>
        <w:textAlignment w:val="auto"/>
        <w:rPr>
          <w:rFonts w:ascii="仿宋_GB2312" w:hAnsi="仿宋" w:eastAsia="仿宋_GB2312" w:cs="仿宋"/>
          <w:color w:val="000000" w:themeColor="text1"/>
          <w:sz w:val="32"/>
          <w:szCs w:val="32"/>
          <w:highlight w:val="none"/>
          <w14:textFill>
            <w14:solidFill>
              <w14:schemeClr w14:val="tx1"/>
            </w14:solidFill>
          </w14:textFill>
        </w:rPr>
      </w:pPr>
      <w:bookmarkStart w:id="1924" w:name="_Toc526894812"/>
      <w:r>
        <w:rPr>
          <w:rFonts w:hint="eastAsia" w:ascii="仿宋_GB2312" w:hAnsi="宋体" w:eastAsia="仿宋_GB2312" w:cs="仿宋"/>
          <w:color w:val="000000" w:themeColor="text1"/>
          <w:sz w:val="32"/>
          <w:szCs w:val="32"/>
          <w:highlight w:val="none"/>
          <w14:textFill>
            <w14:solidFill>
              <w14:schemeClr w14:val="tx1"/>
            </w14:solidFill>
          </w14:textFill>
        </w:rPr>
        <w:t>对经认定的新建或改建的电竞场馆，按照硬件建设和电竞设备投入资金</w:t>
      </w:r>
      <w:r>
        <w:rPr>
          <w:rFonts w:ascii="仿宋_GB2312" w:hAnsi="宋体" w:eastAsia="仿宋_GB2312" w:cs="仿宋"/>
          <w:color w:val="000000" w:themeColor="text1"/>
          <w:sz w:val="32"/>
          <w:szCs w:val="32"/>
          <w:highlight w:val="none"/>
          <w14:textFill>
            <w14:solidFill>
              <w14:schemeClr w14:val="tx1"/>
            </w14:solidFill>
          </w14:textFill>
        </w:rPr>
        <w:t>的20%给予</w:t>
      </w:r>
      <w:r>
        <w:rPr>
          <w:rFonts w:hint="eastAsia" w:ascii="仿宋_GB2312" w:hAnsi="宋体" w:eastAsia="仿宋_GB2312" w:cs="仿宋"/>
          <w:color w:val="000000" w:themeColor="text1"/>
          <w:sz w:val="32"/>
          <w:szCs w:val="32"/>
          <w:highlight w:val="none"/>
          <w14:textFill>
            <w14:solidFill>
              <w14:schemeClr w14:val="tx1"/>
            </w14:solidFill>
          </w14:textFill>
        </w:rPr>
        <w:t>一次性</w:t>
      </w:r>
      <w:r>
        <w:rPr>
          <w:rFonts w:ascii="仿宋_GB2312" w:hAnsi="宋体" w:eastAsia="仿宋_GB2312" w:cs="仿宋"/>
          <w:color w:val="000000" w:themeColor="text1"/>
          <w:sz w:val="32"/>
          <w:szCs w:val="32"/>
          <w:highlight w:val="none"/>
          <w14:textFill>
            <w14:solidFill>
              <w14:schemeClr w14:val="tx1"/>
            </w14:solidFill>
          </w14:textFill>
        </w:rPr>
        <w:t>补贴，</w:t>
      </w:r>
      <w:r>
        <w:rPr>
          <w:rFonts w:hint="eastAsia" w:ascii="仿宋_GB2312" w:hAnsi="宋体" w:eastAsia="仿宋_GB2312" w:cs="仿宋"/>
          <w:color w:val="000000" w:themeColor="text1"/>
          <w:sz w:val="32"/>
          <w:szCs w:val="32"/>
          <w:highlight w:val="none"/>
          <w14:textFill>
            <w14:solidFill>
              <w14:schemeClr w14:val="tx1"/>
            </w14:solidFill>
          </w14:textFill>
        </w:rPr>
        <w:t>每个场馆</w:t>
      </w:r>
      <w:r>
        <w:rPr>
          <w:rFonts w:ascii="仿宋_GB2312" w:hAnsi="宋体" w:eastAsia="仿宋_GB2312" w:cs="仿宋"/>
          <w:color w:val="000000" w:themeColor="text1"/>
          <w:sz w:val="32"/>
          <w:szCs w:val="32"/>
          <w:highlight w:val="none"/>
          <w14:textFill>
            <w14:solidFill>
              <w14:schemeClr w14:val="tx1"/>
            </w14:solidFill>
          </w14:textFill>
        </w:rPr>
        <w:t>不超过500万元；属于租赁物业的，按照实际支付租金的50%给予补贴，</w:t>
      </w:r>
      <w:r>
        <w:rPr>
          <w:rFonts w:hint="eastAsia" w:ascii="仿宋_GB2312" w:hAnsi="宋体" w:eastAsia="仿宋_GB2312" w:cs="仿宋"/>
          <w:color w:val="000000" w:themeColor="text1"/>
          <w:sz w:val="32"/>
          <w:szCs w:val="32"/>
          <w:highlight w:val="none"/>
          <w14:textFill>
            <w14:solidFill>
              <w14:schemeClr w14:val="tx1"/>
            </w14:solidFill>
          </w14:textFill>
        </w:rPr>
        <w:t>每个电竞场馆</w:t>
      </w:r>
      <w:r>
        <w:rPr>
          <w:rFonts w:ascii="仿宋_GB2312" w:hAnsi="宋体" w:eastAsia="仿宋_GB2312" w:cs="仿宋"/>
          <w:color w:val="000000" w:themeColor="text1"/>
          <w:sz w:val="32"/>
          <w:szCs w:val="32"/>
          <w:highlight w:val="none"/>
          <w14:textFill>
            <w14:solidFill>
              <w14:schemeClr w14:val="tx1"/>
            </w14:solidFill>
          </w14:textFill>
        </w:rPr>
        <w:t>每年不超过100万元，</w:t>
      </w:r>
      <w:r>
        <w:rPr>
          <w:rFonts w:hint="eastAsia" w:ascii="仿宋_GB2312" w:hAnsi="宋体" w:eastAsia="仿宋_GB2312" w:cs="仿宋"/>
          <w:color w:val="000000" w:themeColor="text1"/>
          <w:sz w:val="32"/>
          <w:szCs w:val="32"/>
          <w:highlight w:val="none"/>
          <w14:textFill>
            <w14:solidFill>
              <w14:schemeClr w14:val="tx1"/>
            </w14:solidFill>
          </w14:textFill>
        </w:rPr>
        <w:t>资助期限</w:t>
      </w:r>
      <w:r>
        <w:rPr>
          <w:rFonts w:ascii="仿宋_GB2312" w:hAnsi="宋体" w:eastAsia="仿宋_GB2312" w:cs="仿宋"/>
          <w:color w:val="000000" w:themeColor="text1"/>
          <w:sz w:val="32"/>
          <w:szCs w:val="32"/>
          <w:highlight w:val="none"/>
          <w14:textFill>
            <w14:solidFill>
              <w14:schemeClr w14:val="tx1"/>
            </w14:solidFill>
          </w14:textFill>
        </w:rPr>
        <w:t>不超过3年。</w:t>
      </w:r>
    </w:p>
    <w:bookmarkEnd w:id="1924"/>
    <w:p>
      <w:pPr>
        <w:pStyle w:val="20"/>
        <w:keepNext w:val="0"/>
        <w:keepLines w:val="0"/>
        <w:pageBreakBefore w:val="0"/>
        <w:widowControl w:val="0"/>
        <w:tabs>
          <w:tab w:val="left" w:pos="0"/>
        </w:tabs>
        <w:wordWrap/>
        <w:topLinePunct w:val="0"/>
        <w:bidi w:val="0"/>
        <w:spacing w:beforeAutospacing="0" w:afterAutospacing="0" w:line="560" w:lineRule="exact"/>
        <w:ind w:left="0" w:leftChars="0" w:firstLine="643" w:firstLineChars="200"/>
        <w:textAlignment w:val="auto"/>
        <w:rPr>
          <w:rFonts w:hint="eastAsia" w:ascii="楷体_GB2312" w:hAnsi="楷体_GB2312" w:eastAsia="楷体_GB2312" w:cs="楷体_GB2312"/>
          <w:b/>
          <w:color w:val="auto"/>
          <w:sz w:val="32"/>
          <w:szCs w:val="24"/>
          <w:highlight w:val="none"/>
        </w:rPr>
      </w:pPr>
      <w:r>
        <w:rPr>
          <w:rFonts w:hint="eastAsia" w:ascii="楷体_GB2312" w:hAnsi="楷体_GB2312" w:eastAsia="楷体_GB2312" w:cs="楷体_GB2312"/>
          <w:b/>
          <w:bCs w:val="0"/>
          <w:color w:val="auto"/>
          <w:sz w:val="32"/>
          <w:szCs w:val="24"/>
          <w:highlight w:val="none"/>
        </w:rPr>
        <w:t xml:space="preserve">第九条 </w:t>
      </w:r>
      <w:r>
        <w:rPr>
          <w:rFonts w:hint="eastAsia" w:ascii="楷体_GB2312" w:hAnsi="楷体_GB2312" w:eastAsia="楷体_GB2312" w:cs="楷体_GB2312"/>
          <w:b/>
          <w:bCs w:val="0"/>
          <w:color w:val="auto"/>
          <w:sz w:val="32"/>
          <w:szCs w:val="24"/>
          <w:highlight w:val="none"/>
          <w:lang w:val="en-US" w:eastAsia="zh-CN"/>
        </w:rPr>
        <w:t xml:space="preserve"> </w:t>
      </w:r>
      <w:r>
        <w:rPr>
          <w:rFonts w:hint="eastAsia" w:ascii="楷体_GB2312" w:hAnsi="楷体_GB2312" w:eastAsia="楷体_GB2312" w:cs="楷体_GB2312"/>
          <w:b/>
          <w:bCs w:val="0"/>
          <w:color w:val="auto"/>
          <w:sz w:val="32"/>
          <w:szCs w:val="24"/>
          <w:highlight w:val="none"/>
        </w:rPr>
        <w:t>支持建设电竞产业园</w:t>
      </w:r>
    </w:p>
    <w:p>
      <w:pPr>
        <w:keepNext w:val="0"/>
        <w:keepLines w:val="0"/>
        <w:pageBreakBefore w:val="0"/>
        <w:widowControl w:val="0"/>
        <w:wordWrap/>
        <w:topLinePunct w:val="0"/>
        <w:bidi w:val="0"/>
        <w:spacing w:beforeAutospacing="0" w:afterAutospacing="0" w:line="560" w:lineRule="exact"/>
        <w:ind w:left="0" w:leftChars="0" w:firstLine="640" w:firstLineChars="200"/>
        <w:textAlignment w:val="auto"/>
        <w:rPr>
          <w:rFonts w:ascii="仿宋_GB2312" w:hAnsi="仿宋" w:eastAsia="仿宋_GB2312" w:cs="仿宋"/>
          <w:color w:val="000000" w:themeColor="text1"/>
          <w:sz w:val="32"/>
          <w:szCs w:val="32"/>
          <w:highlight w:val="none"/>
          <w14:textFill>
            <w14:solidFill>
              <w14:schemeClr w14:val="tx1"/>
            </w14:solidFill>
          </w14:textFill>
        </w:rPr>
      </w:pPr>
      <w:r>
        <w:rPr>
          <w:rFonts w:hint="eastAsia" w:ascii="仿宋_GB2312" w:hAnsi="宋体" w:eastAsia="仿宋_GB2312" w:cs="仿宋"/>
          <w:color w:val="000000" w:themeColor="text1"/>
          <w:sz w:val="32"/>
          <w:szCs w:val="32"/>
          <w:highlight w:val="none"/>
          <w14:textFill>
            <w14:solidFill>
              <w14:schemeClr w14:val="tx1"/>
            </w14:solidFill>
          </w14:textFill>
        </w:rPr>
        <w:t>对经认定的电竞产业聚集发展的文化产业园或体育产业园，按照基础设施建设实际投入资金的</w:t>
      </w:r>
      <w:r>
        <w:rPr>
          <w:rFonts w:ascii="仿宋_GB2312" w:hAnsi="宋体" w:eastAsia="仿宋_GB2312" w:cs="仿宋"/>
          <w:color w:val="000000" w:themeColor="text1"/>
          <w:sz w:val="32"/>
          <w:szCs w:val="32"/>
          <w:highlight w:val="none"/>
          <w14:textFill>
            <w14:solidFill>
              <w14:schemeClr w14:val="tx1"/>
            </w14:solidFill>
          </w14:textFill>
        </w:rPr>
        <w:t>30%给予补贴，</w:t>
      </w:r>
      <w:r>
        <w:rPr>
          <w:rFonts w:hint="eastAsia" w:ascii="仿宋_GB2312" w:hAnsi="宋体" w:eastAsia="仿宋_GB2312" w:cs="仿宋"/>
          <w:color w:val="000000" w:themeColor="text1"/>
          <w:sz w:val="32"/>
          <w:szCs w:val="32"/>
          <w:highlight w:val="none"/>
          <w14:textFill>
            <w14:solidFill>
              <w14:schemeClr w14:val="tx1"/>
            </w14:solidFill>
          </w14:textFill>
        </w:rPr>
        <w:t>每个产业园不超过</w:t>
      </w:r>
      <w:r>
        <w:rPr>
          <w:rFonts w:ascii="仿宋_GB2312" w:hAnsi="宋体" w:eastAsia="仿宋_GB2312" w:cs="仿宋"/>
          <w:color w:val="000000" w:themeColor="text1"/>
          <w:sz w:val="32"/>
          <w:szCs w:val="32"/>
          <w:highlight w:val="none"/>
          <w14:textFill>
            <w14:solidFill>
              <w14:schemeClr w14:val="tx1"/>
            </w14:solidFill>
          </w14:textFill>
        </w:rPr>
        <w:t>500万元。</w:t>
      </w:r>
    </w:p>
    <w:p>
      <w:pPr>
        <w:pStyle w:val="20"/>
        <w:keepNext w:val="0"/>
        <w:keepLines w:val="0"/>
        <w:pageBreakBefore w:val="0"/>
        <w:widowControl w:val="0"/>
        <w:tabs>
          <w:tab w:val="left" w:pos="0"/>
        </w:tabs>
        <w:wordWrap/>
        <w:topLinePunct w:val="0"/>
        <w:bidi w:val="0"/>
        <w:spacing w:beforeAutospacing="0" w:afterAutospacing="0" w:line="560" w:lineRule="exact"/>
        <w:ind w:left="0" w:leftChars="0" w:firstLine="0"/>
        <w:textAlignment w:val="auto"/>
        <w:rPr>
          <w:rFonts w:hint="eastAsia" w:ascii="楷体_GB2312" w:hAnsi="楷体_GB2312" w:eastAsia="楷体_GB2312" w:cs="楷体_GB2312"/>
          <w:b/>
          <w:bCs w:val="0"/>
          <w:color w:val="auto"/>
          <w:sz w:val="32"/>
          <w:szCs w:val="24"/>
          <w:highlight w:val="none"/>
        </w:rPr>
      </w:pPr>
      <w:r>
        <w:rPr>
          <w:rFonts w:hint="eastAsia" w:ascii="楷体_GB2312" w:hAnsi="楷体_GB2312" w:eastAsia="楷体_GB2312" w:cs="楷体_GB2312"/>
          <w:b/>
          <w:bCs w:val="0"/>
          <w:color w:val="auto"/>
          <w:sz w:val="32"/>
          <w:szCs w:val="24"/>
          <w:highlight w:val="none"/>
        </w:rPr>
        <w:t xml:space="preserve">第十条 </w:t>
      </w:r>
      <w:r>
        <w:rPr>
          <w:rFonts w:hint="eastAsia" w:ascii="楷体_GB2312" w:hAnsi="楷体_GB2312" w:eastAsia="楷体_GB2312" w:cs="楷体_GB2312"/>
          <w:b/>
          <w:bCs w:val="0"/>
          <w:color w:val="auto"/>
          <w:sz w:val="32"/>
          <w:szCs w:val="24"/>
          <w:highlight w:val="none"/>
          <w:lang w:val="en-US" w:eastAsia="zh-CN"/>
        </w:rPr>
        <w:t xml:space="preserve"> </w:t>
      </w:r>
      <w:r>
        <w:rPr>
          <w:rFonts w:hint="eastAsia" w:ascii="楷体_GB2312" w:hAnsi="楷体_GB2312" w:eastAsia="楷体_GB2312" w:cs="楷体_GB2312"/>
          <w:b/>
          <w:bCs w:val="0"/>
          <w:color w:val="auto"/>
          <w:sz w:val="32"/>
          <w:szCs w:val="24"/>
          <w:highlight w:val="none"/>
        </w:rPr>
        <w:t>支持培育电竞企业</w:t>
      </w:r>
    </w:p>
    <w:p>
      <w:pPr>
        <w:pStyle w:val="20"/>
        <w:keepNext w:val="0"/>
        <w:keepLines w:val="0"/>
        <w:pageBreakBefore w:val="0"/>
        <w:widowControl w:val="0"/>
        <w:tabs>
          <w:tab w:val="left" w:pos="0"/>
        </w:tabs>
        <w:wordWrap/>
        <w:topLinePunct w:val="0"/>
        <w:bidi w:val="0"/>
        <w:spacing w:beforeAutospacing="0" w:afterAutospacing="0" w:line="560" w:lineRule="exact"/>
        <w:ind w:left="0" w:leftChars="0" w:firstLine="640"/>
        <w:textAlignment w:val="auto"/>
        <w:rPr>
          <w:rFonts w:ascii="仿宋_GB2312" w:hAnsi="仿宋" w:eastAsia="仿宋_GB2312" w:cs="仿宋"/>
          <w:color w:val="000000" w:themeColor="text1"/>
          <w:sz w:val="32"/>
          <w:szCs w:val="32"/>
          <w:highlight w:val="none"/>
          <w14:textFill>
            <w14:solidFill>
              <w14:schemeClr w14:val="tx1"/>
            </w14:solidFill>
          </w14:textFill>
        </w:rPr>
      </w:pPr>
      <w:r>
        <w:rPr>
          <w:rFonts w:hint="eastAsia" w:ascii="仿宋_GB2312" w:hAnsi="宋体" w:eastAsia="仿宋_GB2312" w:cs="仿宋"/>
          <w:color w:val="000000" w:themeColor="text1"/>
          <w:sz w:val="32"/>
          <w:szCs w:val="32"/>
          <w:highlight w:val="none"/>
          <w14:textFill>
            <w14:solidFill>
              <w14:schemeClr w14:val="tx1"/>
            </w14:solidFill>
          </w14:textFill>
        </w:rPr>
        <w:t>对符合条件的电竞企业，按照上年度实际支付租金的35%给予房租补贴，每个企业每年不超过150万元，资助期限不超过3年。</w:t>
      </w:r>
    </w:p>
    <w:p>
      <w:pPr>
        <w:pStyle w:val="20"/>
        <w:keepNext w:val="0"/>
        <w:keepLines w:val="0"/>
        <w:pageBreakBefore w:val="0"/>
        <w:widowControl w:val="0"/>
        <w:tabs>
          <w:tab w:val="left" w:pos="0"/>
        </w:tabs>
        <w:wordWrap/>
        <w:topLinePunct w:val="0"/>
        <w:bidi w:val="0"/>
        <w:spacing w:beforeAutospacing="0" w:afterAutospacing="0" w:line="560" w:lineRule="exact"/>
        <w:ind w:left="0" w:leftChars="0" w:firstLine="0"/>
        <w:jc w:val="left"/>
        <w:textAlignment w:val="auto"/>
        <w:rPr>
          <w:rFonts w:hint="eastAsia" w:ascii="楷体_GB2312" w:hAnsi="楷体_GB2312" w:eastAsia="楷体_GB2312" w:cs="楷体_GB2312"/>
          <w:b/>
          <w:bCs w:val="0"/>
          <w:color w:val="auto"/>
          <w:sz w:val="32"/>
          <w:szCs w:val="24"/>
          <w:highlight w:val="none"/>
        </w:rPr>
      </w:pPr>
      <w:r>
        <w:rPr>
          <w:rFonts w:hint="eastAsia" w:ascii="楷体_GB2312" w:hAnsi="楷体_GB2312" w:eastAsia="楷体_GB2312" w:cs="楷体_GB2312"/>
          <w:b/>
          <w:bCs w:val="0"/>
          <w:color w:val="auto"/>
          <w:sz w:val="32"/>
          <w:szCs w:val="24"/>
          <w:highlight w:val="none"/>
        </w:rPr>
        <w:t xml:space="preserve">第十一条 </w:t>
      </w:r>
      <w:r>
        <w:rPr>
          <w:rFonts w:hint="eastAsia" w:ascii="楷体_GB2312" w:hAnsi="楷体_GB2312" w:eastAsia="楷体_GB2312" w:cs="楷体_GB2312"/>
          <w:b/>
          <w:bCs w:val="0"/>
          <w:color w:val="auto"/>
          <w:sz w:val="32"/>
          <w:szCs w:val="24"/>
          <w:highlight w:val="none"/>
          <w:lang w:val="en-US" w:eastAsia="zh-CN"/>
        </w:rPr>
        <w:t xml:space="preserve"> </w:t>
      </w:r>
      <w:r>
        <w:rPr>
          <w:rFonts w:hint="eastAsia" w:ascii="楷体_GB2312" w:hAnsi="楷体_GB2312" w:eastAsia="楷体_GB2312" w:cs="楷体_GB2312"/>
          <w:b/>
          <w:bCs w:val="0"/>
          <w:color w:val="auto"/>
          <w:sz w:val="32"/>
          <w:szCs w:val="24"/>
          <w:highlight w:val="none"/>
        </w:rPr>
        <w:t>支持发展电竞教育</w:t>
      </w:r>
    </w:p>
    <w:p>
      <w:pPr>
        <w:keepNext w:val="0"/>
        <w:keepLines w:val="0"/>
        <w:pageBreakBefore w:val="0"/>
        <w:widowControl w:val="0"/>
        <w:wordWrap/>
        <w:topLinePunct w:val="0"/>
        <w:bidi w:val="0"/>
        <w:spacing w:beforeAutospacing="0" w:afterAutospacing="0" w:line="560" w:lineRule="exact"/>
        <w:ind w:left="0" w:leftChars="0" w:firstLine="643" w:firstLineChars="200"/>
        <w:textAlignment w:val="auto"/>
        <w:rPr>
          <w:rFonts w:hint="eastAsia" w:ascii="仿宋_GB2312" w:hAnsi="Calibri" w:eastAsia="仿宋_GB2312" w:cs="Times New Roman"/>
          <w:b/>
          <w:sz w:val="32"/>
          <w:szCs w:val="24"/>
          <w:highlight w:val="none"/>
        </w:rPr>
      </w:pPr>
      <w:r>
        <w:rPr>
          <w:rFonts w:hint="eastAsia" w:ascii="仿宋_GB2312" w:hAnsi="Calibri" w:eastAsia="仿宋_GB2312" w:cs="Times New Roman"/>
          <w:b/>
          <w:bCs w:val="0"/>
          <w:color w:val="auto"/>
          <w:sz w:val="32"/>
          <w:szCs w:val="24"/>
          <w:highlight w:val="none"/>
        </w:rPr>
        <w:t>（一）开办电竞专业</w:t>
      </w:r>
    </w:p>
    <w:p>
      <w:pPr>
        <w:keepNext w:val="0"/>
        <w:keepLines w:val="0"/>
        <w:pageBreakBefore w:val="0"/>
        <w:widowControl w:val="0"/>
        <w:wordWrap/>
        <w:topLinePunct w:val="0"/>
        <w:bidi w:val="0"/>
        <w:spacing w:beforeAutospacing="0" w:afterAutospacing="0" w:line="560" w:lineRule="exact"/>
        <w:ind w:left="0" w:leftChars="0" w:firstLine="640" w:firstLineChars="200"/>
        <w:textAlignment w:val="auto"/>
        <w:rPr>
          <w:rFonts w:ascii="仿宋_GB2312" w:hAnsi="仿宋" w:eastAsia="仿宋_GB2312" w:cs="仿宋"/>
          <w:color w:val="000000" w:themeColor="text1"/>
          <w:sz w:val="32"/>
          <w:szCs w:val="32"/>
          <w:highlight w:val="none"/>
          <w14:textFill>
            <w14:solidFill>
              <w14:schemeClr w14:val="tx1"/>
            </w14:solidFill>
          </w14:textFill>
        </w:rPr>
      </w:pPr>
      <w:r>
        <w:rPr>
          <w:rFonts w:hint="eastAsia" w:ascii="仿宋_GB2312" w:hAnsi="宋体" w:eastAsia="仿宋_GB2312" w:cs="仿宋"/>
          <w:color w:val="000000" w:themeColor="text1"/>
          <w:sz w:val="32"/>
          <w:szCs w:val="32"/>
          <w:highlight w:val="none"/>
          <w14:textFill>
            <w14:solidFill>
              <w14:schemeClr w14:val="tx1"/>
            </w14:solidFill>
          </w14:textFill>
        </w:rPr>
        <w:t>支持高等院校或中等职业学校，独立或联合企业开办电竞教育专业，对符合条件的专业，给予开办单位一次性奖励</w:t>
      </w:r>
      <w:r>
        <w:rPr>
          <w:rFonts w:ascii="仿宋_GB2312" w:hAnsi="宋体" w:eastAsia="仿宋_GB2312" w:cs="仿宋"/>
          <w:color w:val="000000" w:themeColor="text1"/>
          <w:sz w:val="32"/>
          <w:szCs w:val="32"/>
          <w:highlight w:val="none"/>
          <w14:textFill>
            <w14:solidFill>
              <w14:schemeClr w14:val="tx1"/>
            </w14:solidFill>
          </w14:textFill>
        </w:rPr>
        <w:t>10</w:t>
      </w:r>
      <w:r>
        <w:rPr>
          <w:rFonts w:hint="eastAsia" w:ascii="仿宋_GB2312" w:hAnsi="宋体" w:eastAsia="仿宋_GB2312" w:cs="仿宋"/>
          <w:color w:val="000000" w:themeColor="text1"/>
          <w:sz w:val="32"/>
          <w:szCs w:val="32"/>
          <w:highlight w:val="none"/>
          <w14:textFill>
            <w14:solidFill>
              <w14:schemeClr w14:val="tx1"/>
            </w14:solidFill>
          </w14:textFill>
        </w:rPr>
        <w:t>0万元。</w:t>
      </w:r>
    </w:p>
    <w:p>
      <w:pPr>
        <w:keepNext w:val="0"/>
        <w:keepLines w:val="0"/>
        <w:pageBreakBefore w:val="0"/>
        <w:widowControl w:val="0"/>
        <w:wordWrap/>
        <w:topLinePunct w:val="0"/>
        <w:bidi w:val="0"/>
        <w:spacing w:beforeAutospacing="0" w:afterAutospacing="0" w:line="560" w:lineRule="exact"/>
        <w:ind w:left="0" w:leftChars="0" w:firstLine="643" w:firstLineChars="200"/>
        <w:textAlignment w:val="auto"/>
        <w:rPr>
          <w:rFonts w:hint="eastAsia" w:ascii="仿宋_GB2312" w:hAnsi="Calibri" w:eastAsia="仿宋_GB2312" w:cs="Times New Roman"/>
          <w:b/>
          <w:sz w:val="32"/>
          <w:szCs w:val="24"/>
          <w:highlight w:val="none"/>
        </w:rPr>
      </w:pPr>
      <w:r>
        <w:rPr>
          <w:rFonts w:hint="eastAsia" w:ascii="仿宋_GB2312" w:hAnsi="Calibri" w:eastAsia="仿宋_GB2312" w:cs="Times New Roman"/>
          <w:b/>
          <w:bCs w:val="0"/>
          <w:color w:val="auto"/>
          <w:sz w:val="32"/>
          <w:szCs w:val="24"/>
          <w:highlight w:val="none"/>
        </w:rPr>
        <w:t>（二）开展电竞培训</w:t>
      </w:r>
    </w:p>
    <w:p>
      <w:pPr>
        <w:keepNext w:val="0"/>
        <w:keepLines w:val="0"/>
        <w:pageBreakBefore w:val="0"/>
        <w:widowControl w:val="0"/>
        <w:wordWrap/>
        <w:topLinePunct w:val="0"/>
        <w:bidi w:val="0"/>
        <w:spacing w:beforeAutospacing="0" w:afterAutospacing="0" w:line="560" w:lineRule="exact"/>
        <w:ind w:left="0" w:leftChars="0" w:firstLine="640" w:firstLineChars="200"/>
        <w:textAlignment w:val="auto"/>
        <w:rPr>
          <w:rFonts w:ascii="仿宋_GB2312" w:hAnsi="仿宋" w:eastAsia="仿宋_GB2312" w:cs="仿宋"/>
          <w:color w:val="000000" w:themeColor="text1"/>
          <w:sz w:val="32"/>
          <w:szCs w:val="32"/>
          <w:highlight w:val="none"/>
          <w14:textFill>
            <w14:solidFill>
              <w14:schemeClr w14:val="tx1"/>
            </w14:solidFill>
          </w14:textFill>
        </w:rPr>
      </w:pPr>
      <w:r>
        <w:rPr>
          <w:rFonts w:hint="eastAsia" w:ascii="仿宋_GB2312" w:hAnsi="宋体" w:eastAsia="仿宋_GB2312" w:cs="仿宋"/>
          <w:color w:val="000000" w:themeColor="text1"/>
          <w:sz w:val="32"/>
          <w:szCs w:val="32"/>
          <w:highlight w:val="none"/>
          <w14:textFill>
            <w14:solidFill>
              <w14:schemeClr w14:val="tx1"/>
            </w14:solidFill>
          </w14:textFill>
        </w:rPr>
        <w:t>支持行业协会、教育单位、企业从事电竞培训活动，对符合条件的培训机构按照教学设备和师资投入的30%给予一次性补贴，每个机构不超过100万元；租用教室的电竞培训机构，按照实际支付租金的</w:t>
      </w:r>
      <w:r>
        <w:rPr>
          <w:rFonts w:ascii="仿宋_GB2312" w:hAnsi="宋体" w:eastAsia="仿宋_GB2312" w:cs="仿宋"/>
          <w:color w:val="000000" w:themeColor="text1"/>
          <w:sz w:val="32"/>
          <w:szCs w:val="32"/>
          <w:highlight w:val="none"/>
          <w14:textFill>
            <w14:solidFill>
              <w14:schemeClr w14:val="tx1"/>
            </w14:solidFill>
          </w14:textFill>
        </w:rPr>
        <w:t>3</w:t>
      </w:r>
      <w:r>
        <w:rPr>
          <w:rFonts w:hint="eastAsia" w:ascii="仿宋_GB2312" w:hAnsi="宋体" w:eastAsia="仿宋_GB2312" w:cs="仿宋"/>
          <w:color w:val="000000" w:themeColor="text1"/>
          <w:sz w:val="32"/>
          <w:szCs w:val="32"/>
          <w:highlight w:val="none"/>
          <w14:textFill>
            <w14:solidFill>
              <w14:schemeClr w14:val="tx1"/>
            </w14:solidFill>
          </w14:textFill>
        </w:rPr>
        <w:t>5%给予补贴，每个机构每年不超过</w:t>
      </w:r>
      <w:r>
        <w:rPr>
          <w:rFonts w:ascii="仿宋_GB2312" w:hAnsi="宋体" w:eastAsia="仿宋_GB2312" w:cs="仿宋"/>
          <w:color w:val="000000" w:themeColor="text1"/>
          <w:sz w:val="32"/>
          <w:szCs w:val="32"/>
          <w:highlight w:val="none"/>
          <w14:textFill>
            <w14:solidFill>
              <w14:schemeClr w14:val="tx1"/>
            </w14:solidFill>
          </w14:textFill>
        </w:rPr>
        <w:t>5</w:t>
      </w:r>
      <w:r>
        <w:rPr>
          <w:rFonts w:hint="eastAsia" w:ascii="仿宋_GB2312" w:hAnsi="宋体" w:eastAsia="仿宋_GB2312" w:cs="仿宋"/>
          <w:color w:val="000000" w:themeColor="text1"/>
          <w:sz w:val="32"/>
          <w:szCs w:val="32"/>
          <w:highlight w:val="none"/>
          <w14:textFill>
            <w14:solidFill>
              <w14:schemeClr w14:val="tx1"/>
            </w14:solidFill>
          </w14:textFill>
        </w:rPr>
        <w:t>0万元，资助期限不超过</w:t>
      </w:r>
      <w:r>
        <w:rPr>
          <w:rFonts w:ascii="仿宋_GB2312" w:hAnsi="宋体" w:eastAsia="仿宋_GB2312" w:cs="仿宋"/>
          <w:color w:val="000000" w:themeColor="text1"/>
          <w:sz w:val="32"/>
          <w:szCs w:val="32"/>
          <w:highlight w:val="none"/>
          <w14:textFill>
            <w14:solidFill>
              <w14:schemeClr w14:val="tx1"/>
            </w14:solidFill>
          </w14:textFill>
        </w:rPr>
        <w:t>3年。</w:t>
      </w:r>
    </w:p>
    <w:p>
      <w:pPr>
        <w:keepNext w:val="0"/>
        <w:keepLines w:val="0"/>
        <w:pageBreakBefore w:val="0"/>
        <w:widowControl w:val="0"/>
        <w:wordWrap/>
        <w:topLinePunct w:val="0"/>
        <w:bidi w:val="0"/>
        <w:spacing w:beforeAutospacing="0" w:afterAutospacing="0" w:line="560" w:lineRule="exact"/>
        <w:ind w:left="0" w:leftChars="0" w:firstLine="643" w:firstLineChars="200"/>
        <w:textAlignment w:val="auto"/>
        <w:rPr>
          <w:rFonts w:hint="eastAsia" w:ascii="仿宋_GB2312" w:hAnsi="Calibri" w:eastAsia="仿宋_GB2312" w:cs="Times New Roman"/>
          <w:b/>
          <w:sz w:val="32"/>
          <w:szCs w:val="24"/>
          <w:highlight w:val="none"/>
        </w:rPr>
      </w:pPr>
      <w:r>
        <w:rPr>
          <w:rFonts w:hint="eastAsia" w:ascii="仿宋_GB2312" w:hAnsi="Calibri" w:eastAsia="仿宋_GB2312" w:cs="Times New Roman"/>
          <w:b/>
          <w:bCs w:val="0"/>
          <w:color w:val="auto"/>
          <w:sz w:val="32"/>
          <w:szCs w:val="24"/>
          <w:highlight w:val="none"/>
        </w:rPr>
        <w:t>（三）创办电竞产学研基地</w:t>
      </w:r>
    </w:p>
    <w:p>
      <w:pPr>
        <w:keepNext w:val="0"/>
        <w:keepLines w:val="0"/>
        <w:pageBreakBefore w:val="0"/>
        <w:widowControl w:val="0"/>
        <w:wordWrap/>
        <w:topLinePunct w:val="0"/>
        <w:bidi w:val="0"/>
        <w:spacing w:beforeAutospacing="0" w:afterAutospacing="0" w:line="560" w:lineRule="exact"/>
        <w:ind w:left="0" w:leftChars="0" w:firstLine="640" w:firstLineChars="200"/>
        <w:textAlignment w:val="auto"/>
        <w:rPr>
          <w:rFonts w:ascii="仿宋_GB2312" w:hAnsi="仿宋" w:eastAsia="仿宋_GB2312" w:cs="仿宋"/>
          <w:color w:val="000000" w:themeColor="text1"/>
          <w:sz w:val="32"/>
          <w:szCs w:val="32"/>
          <w:highlight w:val="none"/>
          <w14:textFill>
            <w14:solidFill>
              <w14:schemeClr w14:val="tx1"/>
            </w14:solidFill>
          </w14:textFill>
        </w:rPr>
      </w:pPr>
      <w:r>
        <w:rPr>
          <w:rFonts w:hint="eastAsia" w:ascii="仿宋_GB2312" w:hAnsi="宋体" w:eastAsia="仿宋_GB2312" w:cs="仿宋"/>
          <w:color w:val="000000" w:themeColor="text1"/>
          <w:sz w:val="32"/>
          <w:szCs w:val="32"/>
          <w:highlight w:val="none"/>
          <w14:textFill>
            <w14:solidFill>
              <w14:schemeClr w14:val="tx1"/>
            </w14:solidFill>
          </w14:textFill>
        </w:rPr>
        <w:t>支持企事业单位联合创办电竞产学研基地，对符合条件的产学研基地，给予运营机构一次性奖励50万元。</w:t>
      </w:r>
    </w:p>
    <w:p>
      <w:pPr>
        <w:keepNext w:val="0"/>
        <w:keepLines w:val="0"/>
        <w:pageBreakBefore w:val="0"/>
        <w:widowControl w:val="0"/>
        <w:numPr>
          <w:ilvl w:val="255"/>
          <w:numId w:val="0"/>
        </w:numPr>
        <w:wordWrap/>
        <w:topLinePunct w:val="0"/>
        <w:bidi w:val="0"/>
        <w:spacing w:beforeAutospacing="0" w:afterAutospacing="0" w:line="560" w:lineRule="exact"/>
        <w:ind w:left="0" w:leftChars="0"/>
        <w:jc w:val="center"/>
        <w:textAlignment w:val="auto"/>
        <w:rPr>
          <w:rFonts w:ascii="黑体" w:hAnsi="黑体" w:eastAsia="黑体"/>
          <w:color w:val="000000" w:themeColor="text1"/>
          <w:sz w:val="32"/>
          <w:szCs w:val="32"/>
          <w:highlight w:val="none"/>
          <w14:textFill>
            <w14:solidFill>
              <w14:schemeClr w14:val="tx1"/>
            </w14:solidFill>
          </w14:textFill>
        </w:rPr>
      </w:pPr>
      <w:bookmarkStart w:id="1925" w:name="_Toc526894828"/>
    </w:p>
    <w:p>
      <w:pPr>
        <w:pStyle w:val="2"/>
        <w:keepNext w:val="0"/>
        <w:keepLines w:val="0"/>
        <w:pageBreakBefore w:val="0"/>
        <w:widowControl w:val="0"/>
        <w:numPr>
          <w:ilvl w:val="255"/>
          <w:numId w:val="0"/>
        </w:numPr>
        <w:wordWrap/>
        <w:topLinePunct w:val="0"/>
        <w:bidi w:val="0"/>
        <w:spacing w:before="0" w:beforeLines="0" w:beforeAutospacing="0" w:after="0" w:afterLines="0" w:afterAutospacing="0" w:line="560" w:lineRule="exact"/>
        <w:ind w:left="0" w:leftChars="0"/>
        <w:jc w:val="center"/>
        <w:textAlignment w:val="auto"/>
        <w:rPr>
          <w:rFonts w:hint="eastAsia" w:eastAsia="黑体" w:asciiTheme="minorHAnsi" w:hAnsiTheme="minorHAnsi" w:cstheme="minorBidi"/>
          <w:b w:val="0"/>
          <w:bCs w:val="0"/>
          <w:color w:val="auto"/>
          <w:sz w:val="32"/>
          <w:szCs w:val="24"/>
          <w:highlight w:val="none"/>
        </w:rPr>
      </w:pPr>
      <w:r>
        <w:rPr>
          <w:rFonts w:hint="eastAsia" w:eastAsia="黑体" w:asciiTheme="minorHAnsi" w:hAnsiTheme="minorHAnsi" w:cstheme="minorBidi"/>
          <w:b w:val="0"/>
          <w:bCs w:val="0"/>
          <w:color w:val="auto"/>
          <w:sz w:val="32"/>
          <w:szCs w:val="24"/>
          <w:highlight w:val="none"/>
        </w:rPr>
        <w:t xml:space="preserve">第四章 </w:t>
      </w:r>
      <w:r>
        <w:rPr>
          <w:rFonts w:hint="eastAsia" w:asciiTheme="minorHAnsi" w:hAnsiTheme="minorHAnsi" w:cstheme="minorBidi"/>
          <w:b w:val="0"/>
          <w:bCs w:val="0"/>
          <w:color w:val="auto"/>
          <w:sz w:val="32"/>
          <w:szCs w:val="24"/>
          <w:highlight w:val="none"/>
          <w:lang w:val="en-US" w:eastAsia="zh-CN"/>
        </w:rPr>
        <w:t xml:space="preserve"> </w:t>
      </w:r>
      <w:r>
        <w:rPr>
          <w:rFonts w:hint="eastAsia" w:eastAsia="黑体" w:asciiTheme="minorHAnsi" w:hAnsiTheme="minorHAnsi" w:cstheme="minorBidi"/>
          <w:b w:val="0"/>
          <w:bCs w:val="0"/>
          <w:color w:val="auto"/>
          <w:sz w:val="32"/>
          <w:szCs w:val="24"/>
          <w:highlight w:val="none"/>
        </w:rPr>
        <w:t>申请、审核</w:t>
      </w:r>
      <w:bookmarkEnd w:id="1925"/>
      <w:bookmarkStart w:id="1926" w:name="_Toc526894829"/>
      <w:r>
        <w:rPr>
          <w:rFonts w:hint="eastAsia" w:eastAsia="黑体" w:asciiTheme="minorHAnsi" w:hAnsiTheme="minorHAnsi" w:cstheme="minorBidi"/>
          <w:b w:val="0"/>
          <w:bCs w:val="0"/>
          <w:color w:val="auto"/>
          <w:sz w:val="32"/>
          <w:szCs w:val="24"/>
          <w:highlight w:val="none"/>
        </w:rPr>
        <w:t>和发放</w:t>
      </w:r>
    </w:p>
    <w:p>
      <w:pPr>
        <w:keepNext w:val="0"/>
        <w:keepLines w:val="0"/>
        <w:pageBreakBefore w:val="0"/>
        <w:widowControl w:val="0"/>
        <w:wordWrap/>
        <w:topLinePunct w:val="0"/>
        <w:bidi w:val="0"/>
        <w:spacing w:beforeAutospacing="0" w:afterAutospacing="0" w:line="560" w:lineRule="exact"/>
        <w:ind w:left="0" w:leftChars="0"/>
        <w:textAlignment w:val="auto"/>
        <w:rPr>
          <w:rFonts w:ascii="仿宋_GB2312" w:eastAsia="仿宋_GB2312"/>
          <w:color w:val="000000" w:themeColor="text1"/>
          <w:sz w:val="32"/>
          <w:szCs w:val="32"/>
          <w:highlight w:val="none"/>
          <w14:textFill>
            <w14:solidFill>
              <w14:schemeClr w14:val="tx1"/>
            </w14:solidFill>
          </w14:textFill>
        </w:rPr>
      </w:pPr>
    </w:p>
    <w:p>
      <w:pPr>
        <w:keepNext w:val="0"/>
        <w:keepLines w:val="0"/>
        <w:pageBreakBefore w:val="0"/>
        <w:widowControl w:val="0"/>
        <w:tabs>
          <w:tab w:val="left" w:pos="0"/>
        </w:tabs>
        <w:wordWrap/>
        <w:topLinePunct w:val="0"/>
        <w:bidi w:val="0"/>
        <w:spacing w:beforeAutospacing="0" w:afterAutospacing="0" w:line="560" w:lineRule="exact"/>
        <w:ind w:left="0" w:leftChars="0" w:firstLine="643" w:firstLineChars="200"/>
        <w:jc w:val="both"/>
        <w:textAlignment w:val="auto"/>
        <w:rPr>
          <w:rFonts w:ascii="仿宋_GB2312" w:hAnsi="仿宋_GB2312" w:eastAsia="仿宋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b/>
          <w:color w:val="auto"/>
          <w:sz w:val="32"/>
          <w:szCs w:val="24"/>
          <w:highlight w:val="none"/>
        </w:rPr>
        <w:t xml:space="preserve">第十二条 </w:t>
      </w:r>
      <w:r>
        <w:rPr>
          <w:rFonts w:hint="eastAsia" w:ascii="楷体_GB2312" w:hAnsi="楷体_GB2312" w:eastAsia="楷体_GB2312" w:cs="楷体_GB2312"/>
          <w:b/>
          <w:color w:val="auto"/>
          <w:sz w:val="32"/>
          <w:szCs w:val="24"/>
          <w:highlight w:val="none"/>
          <w:lang w:val="en-US" w:eastAsia="zh-CN"/>
        </w:rPr>
        <w:t xml:space="preserve"> </w:t>
      </w:r>
      <w:r>
        <w:rPr>
          <w:rFonts w:hint="eastAsia" w:ascii="仿宋_GB2312" w:hAnsi="仿宋_GB2312" w:eastAsia="仿宋_GB2312"/>
          <w:color w:val="000000" w:themeColor="text1"/>
          <w:sz w:val="32"/>
          <w:szCs w:val="32"/>
          <w:highlight w:val="none"/>
          <w14:textFill>
            <w14:solidFill>
              <w14:schemeClr w14:val="tx1"/>
            </w14:solidFill>
          </w14:textFill>
        </w:rPr>
        <w:t>南山区文化广电旅游体育局原则上每年一次集中受理申请，具体时间以公告为准。</w:t>
      </w:r>
    </w:p>
    <w:p>
      <w:pPr>
        <w:keepNext w:val="0"/>
        <w:keepLines w:val="0"/>
        <w:pageBreakBefore w:val="0"/>
        <w:widowControl w:val="0"/>
        <w:tabs>
          <w:tab w:val="left" w:pos="0"/>
        </w:tabs>
        <w:wordWrap/>
        <w:topLinePunct w:val="0"/>
        <w:bidi w:val="0"/>
        <w:spacing w:beforeAutospacing="0" w:afterAutospacing="0" w:line="560" w:lineRule="exact"/>
        <w:ind w:left="0" w:leftChars="0" w:firstLine="643" w:firstLineChars="200"/>
        <w:jc w:val="both"/>
        <w:textAlignment w:val="auto"/>
        <w:rPr>
          <w:rFonts w:ascii="仿宋_GB2312" w:hAnsi="仿宋_GB2312" w:eastAsia="仿宋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b/>
          <w:color w:val="auto"/>
          <w:sz w:val="32"/>
          <w:szCs w:val="24"/>
          <w:highlight w:val="none"/>
        </w:rPr>
        <w:t xml:space="preserve">第十三条 </w:t>
      </w:r>
      <w:r>
        <w:rPr>
          <w:rFonts w:hint="eastAsia" w:ascii="楷体_GB2312" w:hAnsi="楷体_GB2312" w:eastAsia="楷体_GB2312" w:cs="楷体_GB2312"/>
          <w:b/>
          <w:color w:val="auto"/>
          <w:sz w:val="32"/>
          <w:szCs w:val="24"/>
          <w:highlight w:val="none"/>
          <w:lang w:val="en-US" w:eastAsia="zh-CN"/>
        </w:rPr>
        <w:t xml:space="preserve"> </w:t>
      </w:r>
      <w:r>
        <w:rPr>
          <w:rFonts w:hint="eastAsia" w:ascii="仿宋_GB2312" w:hAnsi="仿宋_GB2312" w:eastAsia="仿宋_GB2312"/>
          <w:color w:val="000000" w:themeColor="text1"/>
          <w:sz w:val="32"/>
          <w:szCs w:val="32"/>
          <w:highlight w:val="none"/>
          <w14:textFill>
            <w14:solidFill>
              <w14:schemeClr w14:val="tx1"/>
            </w14:solidFill>
          </w14:textFill>
        </w:rPr>
        <w:t>经核准或评审予以支持的项目，按照《</w:t>
      </w:r>
      <w:r>
        <w:rPr>
          <w:rFonts w:hint="eastAsia" w:ascii="仿宋_GB2312" w:hAnsi="仿宋" w:eastAsia="仿宋_GB2312" w:cs="仿宋"/>
          <w:color w:val="000000" w:themeColor="text1"/>
          <w:sz w:val="32"/>
          <w:szCs w:val="32"/>
          <w:highlight w:val="none"/>
          <w14:textFill>
            <w14:solidFill>
              <w14:schemeClr w14:val="tx1"/>
            </w14:solidFill>
          </w14:textFill>
        </w:rPr>
        <w:t>南山区自主创新产业发展专项资金管理办法</w:t>
      </w:r>
      <w:r>
        <w:rPr>
          <w:rFonts w:hint="eastAsia" w:ascii="仿宋_GB2312" w:hAnsi="仿宋_GB2312" w:eastAsia="仿宋_GB2312"/>
          <w:color w:val="000000" w:themeColor="text1"/>
          <w:sz w:val="32"/>
          <w:szCs w:val="32"/>
          <w:highlight w:val="none"/>
          <w14:textFill>
            <w14:solidFill>
              <w14:schemeClr w14:val="tx1"/>
            </w14:solidFill>
          </w14:textFill>
        </w:rPr>
        <w:t>》的程序和规定拨付产业资金。除承办政府主办的重大电竞赛事、重点电竞产业活动之外，其他补贴或奖励均采取事后资助的方式。</w:t>
      </w:r>
    </w:p>
    <w:p>
      <w:pPr>
        <w:keepNext w:val="0"/>
        <w:keepLines w:val="0"/>
        <w:pageBreakBefore w:val="0"/>
        <w:widowControl w:val="0"/>
        <w:tabs>
          <w:tab w:val="left" w:pos="0"/>
        </w:tabs>
        <w:wordWrap/>
        <w:topLinePunct w:val="0"/>
        <w:bidi w:val="0"/>
        <w:spacing w:beforeAutospacing="0" w:afterAutospacing="0" w:line="560" w:lineRule="exact"/>
        <w:ind w:left="0" w:leftChars="0" w:firstLine="643" w:firstLineChars="200"/>
        <w:jc w:val="both"/>
        <w:textAlignment w:val="auto"/>
        <w:rPr>
          <w:rFonts w:ascii="仿宋_GB2312" w:hAnsi="仿宋_GB2312" w:eastAsia="仿宋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b/>
          <w:color w:val="auto"/>
          <w:sz w:val="32"/>
          <w:szCs w:val="24"/>
          <w:highlight w:val="none"/>
        </w:rPr>
        <w:t>第十四条</w:t>
      </w:r>
      <w:r>
        <w:rPr>
          <w:rFonts w:ascii="仿宋_GB2312" w:hAnsi="仿宋_GB2312" w:eastAsia="仿宋_GB2312"/>
          <w:color w:val="000000" w:themeColor="text1"/>
          <w:sz w:val="32"/>
          <w:szCs w:val="32"/>
          <w:highlight w:val="none"/>
          <w14:textFill>
            <w14:solidFill>
              <w14:schemeClr w14:val="tx1"/>
            </w14:solidFill>
          </w14:textFill>
        </w:rPr>
        <w:t xml:space="preserve"> </w:t>
      </w:r>
      <w:r>
        <w:rPr>
          <w:rFonts w:hint="eastAsia" w:ascii="仿宋_GB2312" w:hAnsi="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olor w:val="000000" w:themeColor="text1"/>
          <w:sz w:val="32"/>
          <w:szCs w:val="32"/>
          <w:highlight w:val="none"/>
          <w14:textFill>
            <w14:solidFill>
              <w14:schemeClr w14:val="tx1"/>
            </w14:solidFill>
          </w14:textFill>
        </w:rPr>
        <w:t>违反《南山区自主创新产业发展专项资金管理办法》及相关法律法规禁止性规定的，将取消本年度申请资格，对已发放的扶持资金予以追缴，</w:t>
      </w:r>
      <w:r>
        <w:rPr>
          <w:rFonts w:ascii="仿宋_GB2312" w:hAnsi="仿宋_GB2312" w:eastAsia="仿宋_GB2312"/>
          <w:color w:val="000000" w:themeColor="text1"/>
          <w:sz w:val="32"/>
          <w:szCs w:val="32"/>
          <w:highlight w:val="none"/>
          <w14:textFill>
            <w14:solidFill>
              <w14:schemeClr w14:val="tx1"/>
            </w14:solidFill>
          </w14:textFill>
        </w:rPr>
        <w:t>5</w:t>
      </w:r>
      <w:r>
        <w:rPr>
          <w:rFonts w:hint="eastAsia" w:ascii="仿宋_GB2312" w:hAnsi="仿宋_GB2312" w:eastAsia="仿宋_GB2312"/>
          <w:color w:val="000000" w:themeColor="text1"/>
          <w:sz w:val="32"/>
          <w:szCs w:val="32"/>
          <w:highlight w:val="none"/>
          <w14:textFill>
            <w14:solidFill>
              <w14:schemeClr w14:val="tx1"/>
            </w14:solidFill>
          </w14:textFill>
        </w:rPr>
        <w:t>年内不得申请任何形式的南山区产业扶持资金；情节严重的，将纳入不诚信名单；涉嫌犯罪的，移交司法机关依法追究刑事责任。</w:t>
      </w:r>
    </w:p>
    <w:p>
      <w:pPr>
        <w:keepNext w:val="0"/>
        <w:keepLines w:val="0"/>
        <w:pageBreakBefore w:val="0"/>
        <w:widowControl w:val="0"/>
        <w:tabs>
          <w:tab w:val="left" w:pos="0"/>
        </w:tabs>
        <w:wordWrap/>
        <w:topLinePunct w:val="0"/>
        <w:bidi w:val="0"/>
        <w:spacing w:beforeAutospacing="0" w:afterAutospacing="0" w:line="560" w:lineRule="exact"/>
        <w:ind w:left="0" w:leftChars="0"/>
        <w:jc w:val="both"/>
        <w:textAlignment w:val="auto"/>
        <w:rPr>
          <w:rFonts w:ascii="黑体" w:hAnsi="黑体" w:eastAsia="黑体"/>
          <w:color w:val="000000" w:themeColor="text1"/>
          <w:sz w:val="32"/>
          <w:szCs w:val="32"/>
          <w:highlight w:val="none"/>
          <w14:textFill>
            <w14:solidFill>
              <w14:schemeClr w14:val="tx1"/>
            </w14:solidFill>
          </w14:textFill>
        </w:rPr>
      </w:pPr>
    </w:p>
    <w:p>
      <w:pPr>
        <w:pStyle w:val="2"/>
        <w:keepNext w:val="0"/>
        <w:keepLines w:val="0"/>
        <w:pageBreakBefore w:val="0"/>
        <w:widowControl w:val="0"/>
        <w:wordWrap/>
        <w:topLinePunct w:val="0"/>
        <w:bidi w:val="0"/>
        <w:spacing w:before="0" w:beforeLines="0" w:beforeAutospacing="0" w:after="0" w:afterLines="0" w:afterAutospacing="0" w:line="560" w:lineRule="exact"/>
        <w:ind w:left="0" w:leftChars="0"/>
        <w:jc w:val="center"/>
        <w:textAlignment w:val="auto"/>
        <w:rPr>
          <w:rFonts w:hint="eastAsia" w:eastAsia="黑体" w:asciiTheme="minorHAnsi" w:hAnsiTheme="minorHAnsi" w:cstheme="minorBidi"/>
          <w:b w:val="0"/>
          <w:bCs w:val="0"/>
          <w:color w:val="auto"/>
          <w:sz w:val="32"/>
          <w:szCs w:val="24"/>
          <w:highlight w:val="none"/>
        </w:rPr>
      </w:pPr>
      <w:r>
        <w:rPr>
          <w:rFonts w:hint="eastAsia" w:eastAsia="黑体" w:asciiTheme="minorHAnsi" w:hAnsiTheme="minorHAnsi" w:cstheme="minorBidi"/>
          <w:b w:val="0"/>
          <w:bCs w:val="0"/>
          <w:color w:val="auto"/>
          <w:sz w:val="32"/>
          <w:szCs w:val="24"/>
          <w:highlight w:val="none"/>
        </w:rPr>
        <w:t xml:space="preserve">第五章 </w:t>
      </w:r>
      <w:r>
        <w:rPr>
          <w:rFonts w:hint="eastAsia" w:asciiTheme="minorHAnsi" w:hAnsiTheme="minorHAnsi" w:cstheme="minorBidi"/>
          <w:b w:val="0"/>
          <w:bCs w:val="0"/>
          <w:color w:val="auto"/>
          <w:sz w:val="32"/>
          <w:szCs w:val="24"/>
          <w:highlight w:val="none"/>
          <w:lang w:val="en-US" w:eastAsia="zh-CN"/>
        </w:rPr>
        <w:t xml:space="preserve"> </w:t>
      </w:r>
      <w:r>
        <w:rPr>
          <w:rFonts w:hint="eastAsia" w:eastAsia="黑体" w:asciiTheme="minorHAnsi" w:hAnsiTheme="minorHAnsi" w:cstheme="minorBidi"/>
          <w:b w:val="0"/>
          <w:bCs w:val="0"/>
          <w:color w:val="auto"/>
          <w:sz w:val="32"/>
          <w:szCs w:val="24"/>
          <w:highlight w:val="none"/>
        </w:rPr>
        <w:t>附 则</w:t>
      </w:r>
    </w:p>
    <w:p>
      <w:pPr>
        <w:keepNext w:val="0"/>
        <w:keepLines w:val="0"/>
        <w:pageBreakBefore w:val="0"/>
        <w:widowControl w:val="0"/>
        <w:tabs>
          <w:tab w:val="left" w:pos="0"/>
        </w:tabs>
        <w:wordWrap/>
        <w:topLinePunct w:val="0"/>
        <w:bidi w:val="0"/>
        <w:spacing w:beforeAutospacing="0" w:afterAutospacing="0" w:line="560" w:lineRule="exact"/>
        <w:ind w:left="0" w:leftChars="0"/>
        <w:jc w:val="both"/>
        <w:textAlignment w:val="auto"/>
        <w:rPr>
          <w:rFonts w:ascii="仿宋_GB2312" w:hAnsi="仿宋_GB2312" w:eastAsia="仿宋_GB2312"/>
          <w:color w:val="000000" w:themeColor="text1"/>
          <w:sz w:val="32"/>
          <w:szCs w:val="32"/>
          <w:highlight w:val="none"/>
          <w14:textFill>
            <w14:solidFill>
              <w14:schemeClr w14:val="tx1"/>
            </w14:solidFill>
          </w14:textFill>
        </w:rPr>
      </w:pPr>
    </w:p>
    <w:p>
      <w:pPr>
        <w:keepNext w:val="0"/>
        <w:keepLines w:val="0"/>
        <w:pageBreakBefore w:val="0"/>
        <w:widowControl w:val="0"/>
        <w:tabs>
          <w:tab w:val="left" w:pos="0"/>
        </w:tabs>
        <w:wordWrap/>
        <w:topLinePunct w:val="0"/>
        <w:bidi w:val="0"/>
        <w:spacing w:beforeAutospacing="0" w:afterAutospacing="0" w:line="560" w:lineRule="exact"/>
        <w:ind w:left="0" w:leftChars="0" w:firstLine="643" w:firstLineChars="200"/>
        <w:jc w:val="both"/>
        <w:textAlignment w:val="auto"/>
        <w:rPr>
          <w:rFonts w:ascii="仿宋_GB2312" w:hAnsi="仿宋_GB2312" w:eastAsia="仿宋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b/>
          <w:color w:val="auto"/>
          <w:sz w:val="32"/>
          <w:szCs w:val="24"/>
          <w:highlight w:val="none"/>
        </w:rPr>
        <w:t xml:space="preserve">第十五条 </w:t>
      </w:r>
      <w:r>
        <w:rPr>
          <w:rFonts w:hint="eastAsia" w:ascii="楷体_GB2312" w:hAnsi="楷体_GB2312" w:eastAsia="楷体_GB2312" w:cs="楷体_GB2312"/>
          <w:b/>
          <w:color w:val="auto"/>
          <w:sz w:val="32"/>
          <w:szCs w:val="24"/>
          <w:highlight w:val="none"/>
          <w:lang w:val="en-US" w:eastAsia="zh-CN"/>
        </w:rPr>
        <w:t xml:space="preserve"> </w:t>
      </w:r>
      <w:r>
        <w:rPr>
          <w:rFonts w:hint="eastAsia" w:ascii="仿宋_GB2312" w:hAnsi="仿宋_GB2312" w:eastAsia="仿宋_GB2312"/>
          <w:color w:val="000000" w:themeColor="text1"/>
          <w:sz w:val="32"/>
          <w:szCs w:val="32"/>
          <w:highlight w:val="none"/>
          <w14:textFill>
            <w14:solidFill>
              <w14:schemeClr w14:val="tx1"/>
            </w14:solidFill>
          </w14:textFill>
        </w:rPr>
        <w:t>本</w:t>
      </w:r>
      <w:r>
        <w:rPr>
          <w:rFonts w:hint="eastAsia" w:ascii="仿宋_GB2312" w:hAnsi="仿宋_GB2312" w:eastAsia="仿宋_GB2312"/>
          <w:color w:val="000000" w:themeColor="text1"/>
          <w:sz w:val="32"/>
          <w:szCs w:val="32"/>
          <w:highlight w:val="none"/>
          <w:lang w:eastAsia="zh-CN"/>
          <w14:textFill>
            <w14:solidFill>
              <w14:schemeClr w14:val="tx1"/>
            </w14:solidFill>
          </w14:textFill>
        </w:rPr>
        <w:t>措施</w:t>
      </w:r>
      <w:r>
        <w:rPr>
          <w:rFonts w:hint="eastAsia" w:ascii="仿宋_GB2312" w:hAnsi="仿宋_GB2312" w:eastAsia="仿宋_GB2312"/>
          <w:color w:val="000000" w:themeColor="text1"/>
          <w:sz w:val="32"/>
          <w:szCs w:val="32"/>
          <w:highlight w:val="none"/>
          <w14:textFill>
            <w14:solidFill>
              <w14:schemeClr w14:val="tx1"/>
            </w14:solidFill>
          </w14:textFill>
        </w:rPr>
        <w:t>所称的“以上”“不超过”包含本数，“以内”不包含本数。</w:t>
      </w:r>
    </w:p>
    <w:p>
      <w:pPr>
        <w:keepNext w:val="0"/>
        <w:keepLines w:val="0"/>
        <w:pageBreakBefore w:val="0"/>
        <w:widowControl w:val="0"/>
        <w:tabs>
          <w:tab w:val="left" w:pos="0"/>
        </w:tabs>
        <w:wordWrap/>
        <w:topLinePunct w:val="0"/>
        <w:bidi w:val="0"/>
        <w:spacing w:beforeAutospacing="0" w:afterAutospacing="0" w:line="560" w:lineRule="exact"/>
        <w:ind w:left="0" w:leftChars="0" w:firstLine="643" w:firstLineChars="200"/>
        <w:jc w:val="both"/>
        <w:textAlignment w:val="auto"/>
        <w:rPr>
          <w:rFonts w:ascii="仿宋_GB2312" w:hAnsi="仿宋_GB2312" w:eastAsia="仿宋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b/>
          <w:color w:val="auto"/>
          <w:sz w:val="32"/>
          <w:szCs w:val="24"/>
          <w:highlight w:val="none"/>
        </w:rPr>
        <w:t xml:space="preserve">第十六条 </w:t>
      </w:r>
      <w:bookmarkEnd w:id="1926"/>
      <w:r>
        <w:rPr>
          <w:rFonts w:hint="eastAsia" w:ascii="楷体_GB2312" w:hAnsi="楷体_GB2312" w:eastAsia="楷体_GB2312" w:cs="楷体_GB2312"/>
          <w:b/>
          <w:color w:val="auto"/>
          <w:sz w:val="32"/>
          <w:szCs w:val="24"/>
          <w:highlight w:val="none"/>
          <w:lang w:val="en-US" w:eastAsia="zh-CN"/>
        </w:rPr>
        <w:t xml:space="preserve"> </w:t>
      </w:r>
      <w:r>
        <w:rPr>
          <w:rFonts w:hint="eastAsia" w:ascii="仿宋_GB2312" w:hAnsi="仿宋_GB2312" w:eastAsia="仿宋_GB2312"/>
          <w:color w:val="000000" w:themeColor="text1"/>
          <w:sz w:val="32"/>
          <w:szCs w:val="32"/>
          <w:highlight w:val="none"/>
          <w14:textFill>
            <w14:solidFill>
              <w14:schemeClr w14:val="tx1"/>
            </w14:solidFill>
          </w14:textFill>
        </w:rPr>
        <w:t>为支持电竞产业新兴业态发展，除“支持研发电竞游戏”外，其他类别资助均不受</w:t>
      </w:r>
      <w:r>
        <w:rPr>
          <w:rFonts w:hint="eastAsia" w:ascii="仿宋_GB2312" w:hAnsi="仿宋" w:eastAsia="仿宋_GB2312" w:cs="仿宋"/>
          <w:color w:val="000000" w:themeColor="text1"/>
          <w:sz w:val="32"/>
          <w:szCs w:val="32"/>
          <w:highlight w:val="none"/>
          <w14:textFill>
            <w14:solidFill>
              <w14:schemeClr w14:val="tx1"/>
            </w14:solidFill>
          </w14:textFill>
        </w:rPr>
        <w:t>《南山区自主创新产业发展专项资金管理办法》</w:t>
      </w:r>
      <w:r>
        <w:rPr>
          <w:rFonts w:hint="eastAsia" w:ascii="仿宋_GB2312" w:hAnsi="仿宋" w:eastAsia="仿宋_GB2312" w:cs="仿宋"/>
          <w:color w:val="000000" w:themeColor="text1"/>
          <w:sz w:val="32"/>
          <w:szCs w:val="32"/>
          <w:highlight w:val="none"/>
          <w:lang w:eastAsia="zh-CN"/>
          <w14:textFill>
            <w14:solidFill>
              <w14:schemeClr w14:val="tx1"/>
            </w14:solidFill>
          </w14:textFill>
        </w:rPr>
        <w:t>规定的</w:t>
      </w:r>
      <w:r>
        <w:rPr>
          <w:rFonts w:hint="eastAsia" w:ascii="仿宋_GB2312" w:hAnsi="仿宋_GB2312" w:eastAsia="仿宋_GB2312"/>
          <w:color w:val="000000" w:themeColor="text1"/>
          <w:sz w:val="32"/>
          <w:szCs w:val="32"/>
          <w:highlight w:val="none"/>
          <w14:textFill>
            <w14:solidFill>
              <w14:schemeClr w14:val="tx1"/>
            </w14:solidFill>
          </w14:textFill>
        </w:rPr>
        <w:t>“区级地方财力贡献”限制。</w:t>
      </w:r>
    </w:p>
    <w:p>
      <w:pPr>
        <w:keepNext w:val="0"/>
        <w:keepLines w:val="0"/>
        <w:pageBreakBefore w:val="0"/>
        <w:widowControl w:val="0"/>
        <w:tabs>
          <w:tab w:val="left" w:pos="0"/>
        </w:tabs>
        <w:wordWrap/>
        <w:topLinePunct w:val="0"/>
        <w:bidi w:val="0"/>
        <w:spacing w:beforeAutospacing="0" w:afterAutospacing="0" w:line="560" w:lineRule="exact"/>
        <w:ind w:left="0" w:leftChars="0" w:firstLine="643" w:firstLineChars="200"/>
        <w:jc w:val="both"/>
        <w:textAlignment w:val="auto"/>
        <w:rPr>
          <w:rFonts w:hint="eastAsia" w:ascii="仿宋_GB2312" w:hAnsi="仿宋_GB2312" w:eastAsia="仿宋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b/>
          <w:color w:val="auto"/>
          <w:sz w:val="32"/>
          <w:szCs w:val="24"/>
          <w:highlight w:val="none"/>
        </w:rPr>
        <w:t xml:space="preserve">第十七条 </w:t>
      </w:r>
      <w:r>
        <w:rPr>
          <w:rFonts w:hint="eastAsia" w:ascii="楷体_GB2312" w:hAnsi="楷体_GB2312" w:eastAsia="楷体_GB2312" w:cs="楷体_GB2312"/>
          <w:b/>
          <w:color w:val="auto"/>
          <w:sz w:val="32"/>
          <w:szCs w:val="24"/>
          <w:highlight w:val="none"/>
          <w:lang w:val="en-US" w:eastAsia="zh-CN"/>
        </w:rPr>
        <w:t xml:space="preserve"> </w:t>
      </w:r>
      <w:r>
        <w:rPr>
          <w:rFonts w:hint="eastAsia" w:ascii="仿宋_GB2312" w:hAnsi="仿宋_GB2312" w:eastAsia="仿宋_GB2312"/>
          <w:color w:val="000000" w:themeColor="text1"/>
          <w:sz w:val="32"/>
          <w:szCs w:val="32"/>
          <w:highlight w:val="none"/>
          <w14:textFill>
            <w14:solidFill>
              <w14:schemeClr w14:val="tx1"/>
            </w14:solidFill>
          </w14:textFill>
        </w:rPr>
        <w:t>本措施尚未涵盖但对南山区电竞产业发展有重要影响的事项，或上级部门有明确要求的事项，由相关单位直接向主管部门提出申请，按“一事一议”的方式报区自主创新产业发展专项资金领导小组会议审议。</w:t>
      </w:r>
    </w:p>
    <w:p>
      <w:pPr>
        <w:keepNext w:val="0"/>
        <w:keepLines w:val="0"/>
        <w:pageBreakBefore w:val="0"/>
        <w:widowControl w:val="0"/>
        <w:tabs>
          <w:tab w:val="left" w:pos="0"/>
        </w:tabs>
        <w:wordWrap/>
        <w:topLinePunct w:val="0"/>
        <w:bidi w:val="0"/>
        <w:spacing w:beforeAutospacing="0" w:afterAutospacing="0" w:line="560" w:lineRule="exact"/>
        <w:ind w:left="0" w:leftChars="0" w:firstLine="643" w:firstLineChars="200"/>
        <w:jc w:val="both"/>
        <w:textAlignment w:val="auto"/>
        <w:rPr>
          <w:rFonts w:hint="eastAsia" w:ascii="仿宋_GB2312" w:hAnsi="仿宋_GB2312" w:eastAsia="仿宋_GB2312"/>
          <w:color w:val="000000" w:themeColor="text1"/>
          <w:sz w:val="32"/>
          <w:szCs w:val="32"/>
          <w:highlight w:val="none"/>
          <w:lang w:eastAsia="zh-CN"/>
          <w14:textFill>
            <w14:solidFill>
              <w14:schemeClr w14:val="tx1"/>
            </w14:solidFill>
          </w14:textFill>
        </w:rPr>
      </w:pPr>
      <w:r>
        <w:rPr>
          <w:rFonts w:hint="eastAsia" w:ascii="楷体_GB2312" w:hAnsi="楷体_GB2312" w:eastAsia="楷体_GB2312" w:cs="楷体_GB2312"/>
          <w:b/>
          <w:color w:val="auto"/>
          <w:sz w:val="32"/>
          <w:szCs w:val="24"/>
          <w:highlight w:val="none"/>
          <w:lang w:eastAsia="zh-CN"/>
        </w:rPr>
        <w:t>第十八条</w:t>
      </w:r>
      <w:r>
        <w:rPr>
          <w:rFonts w:hint="eastAsia" w:ascii="楷体_GB2312" w:hAnsi="楷体_GB2312" w:eastAsia="楷体_GB2312" w:cs="楷体_GB2312"/>
          <w:b/>
          <w:color w:val="auto"/>
          <w:sz w:val="32"/>
          <w:szCs w:val="24"/>
          <w:highlight w:val="none"/>
          <w:lang w:val="en-US" w:eastAsia="zh-CN"/>
        </w:rPr>
        <w:t xml:space="preserve">  </w:t>
      </w:r>
      <w:r>
        <w:rPr>
          <w:rFonts w:hint="eastAsia" w:ascii="仿宋_GB2312" w:hAnsi="仿宋_GB2312" w:eastAsia="仿宋_GB2312"/>
          <w:color w:val="000000" w:themeColor="text1"/>
          <w:sz w:val="32"/>
          <w:szCs w:val="32"/>
          <w:highlight w:val="none"/>
          <w14:textFill>
            <w14:solidFill>
              <w14:schemeClr w14:val="tx1"/>
            </w14:solidFill>
          </w14:textFill>
        </w:rPr>
        <w:t>本措施自发布之日起施行，</w:t>
      </w:r>
      <w:r>
        <w:rPr>
          <w:rFonts w:hint="default" w:ascii="仿宋_GB2312" w:hAnsi="仿宋_GB2312" w:eastAsia="仿宋_GB2312"/>
          <w:color w:val="000000" w:themeColor="text1"/>
          <w:sz w:val="32"/>
          <w:szCs w:val="32"/>
          <w:highlight w:val="none"/>
          <w14:textFill>
            <w14:solidFill>
              <w14:schemeClr w14:val="tx1"/>
            </w14:solidFill>
          </w14:textFill>
        </w:rPr>
        <w:t>有效期</w:t>
      </w:r>
      <w:r>
        <w:rPr>
          <w:rFonts w:hint="eastAsia" w:ascii="仿宋_GB2312" w:hAnsi="仿宋_GB2312" w:eastAsia="仿宋_GB2312"/>
          <w:color w:val="000000" w:themeColor="text1"/>
          <w:sz w:val="32"/>
          <w:szCs w:val="32"/>
          <w:highlight w:val="none"/>
          <w:lang w:eastAsia="zh-CN"/>
          <w14:textFill>
            <w14:solidFill>
              <w14:schemeClr w14:val="tx1"/>
            </w14:solidFill>
          </w14:textFill>
        </w:rPr>
        <w:t>三</w:t>
      </w:r>
      <w:r>
        <w:rPr>
          <w:rFonts w:hint="default" w:ascii="仿宋_GB2312" w:hAnsi="仿宋_GB2312" w:eastAsia="仿宋_GB2312"/>
          <w:color w:val="000000" w:themeColor="text1"/>
          <w:sz w:val="32"/>
          <w:szCs w:val="32"/>
          <w:highlight w:val="none"/>
          <w14:textFill>
            <w14:solidFill>
              <w14:schemeClr w14:val="tx1"/>
            </w14:solidFill>
          </w14:textFill>
        </w:rPr>
        <w:t>年</w:t>
      </w:r>
      <w:r>
        <w:rPr>
          <w:rFonts w:hint="eastAsia" w:ascii="仿宋_GB2312" w:hAnsi="仿宋_GB2312"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wordWrap/>
        <w:topLinePunct w:val="0"/>
        <w:bidi w:val="0"/>
        <w:spacing w:beforeAutospacing="0" w:afterAutospacing="0" w:line="560" w:lineRule="exact"/>
        <w:ind w:left="0" w:leftChars="0" w:firstLine="643" w:firstLineChars="200"/>
        <w:jc w:val="both"/>
        <w:textAlignment w:val="auto"/>
        <w:rPr>
          <w:rFonts w:hint="eastAsia" w:ascii="仿宋_GB2312" w:hAnsi="仿宋_GB2312" w:eastAsia="仿宋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b/>
          <w:color w:val="auto"/>
          <w:sz w:val="32"/>
          <w:szCs w:val="24"/>
          <w:highlight w:val="none"/>
          <w:lang w:eastAsia="zh-CN"/>
        </w:rPr>
        <w:t xml:space="preserve">第十九条 </w:t>
      </w:r>
      <w:r>
        <w:rPr>
          <w:rFonts w:hint="eastAsia" w:ascii="楷体_GB2312" w:hAnsi="楷体_GB2312" w:eastAsia="楷体_GB2312" w:cs="楷体_GB2312"/>
          <w:b/>
          <w:color w:val="auto"/>
          <w:sz w:val="32"/>
          <w:szCs w:val="24"/>
          <w:highlight w:val="none"/>
          <w:lang w:val="en-US" w:eastAsia="zh-CN"/>
        </w:rPr>
        <w:t xml:space="preserve"> </w:t>
      </w:r>
      <w:r>
        <w:rPr>
          <w:rFonts w:hint="eastAsia" w:ascii="仿宋_GB2312" w:hAnsi="仿宋_GB2312" w:eastAsia="仿宋_GB2312"/>
          <w:color w:val="000000" w:themeColor="text1"/>
          <w:sz w:val="32"/>
          <w:szCs w:val="32"/>
          <w:highlight w:val="none"/>
          <w14:textFill>
            <w14:solidFill>
              <w14:schemeClr w14:val="tx1"/>
            </w14:solidFill>
          </w14:textFill>
        </w:rPr>
        <w:t>本措施由区文化广电旅游体育局负责解释，制定与本措施相关的操作规程。</w:t>
      </w:r>
    </w:p>
    <w:p>
      <w:pPr>
        <w:pStyle w:val="2"/>
        <w:keepNext w:val="0"/>
        <w:keepLines w:val="0"/>
        <w:pageBreakBefore w:val="0"/>
        <w:widowControl w:val="0"/>
        <w:wordWrap/>
        <w:topLinePunct w:val="0"/>
        <w:bidi w:val="0"/>
        <w:spacing w:before="0" w:beforeLines="0" w:beforeAutospacing="0" w:after="0" w:afterLines="0" w:afterAutospacing="0" w:line="560" w:lineRule="exact"/>
        <w:ind w:left="0" w:leftChars="0"/>
        <w:rPr>
          <w:rFonts w:hint="eastAsia" w:ascii="仿宋_GB2312" w:hAnsi="仿宋_GB2312" w:eastAsia="仿宋_GB2312"/>
          <w:color w:val="000000" w:themeColor="text1"/>
          <w:sz w:val="32"/>
          <w:szCs w:val="32"/>
          <w:highlight w:val="none"/>
          <w14:textFill>
            <w14:solidFill>
              <w14:schemeClr w14:val="tx1"/>
            </w14:solidFill>
          </w14:textFill>
        </w:rPr>
      </w:pPr>
    </w:p>
    <w:p>
      <w:pPr>
        <w:keepNext w:val="0"/>
        <w:keepLines w:val="0"/>
        <w:pageBreakBefore w:val="0"/>
        <w:widowControl w:val="0"/>
        <w:wordWrap/>
        <w:topLinePunct w:val="0"/>
        <w:bidi w:val="0"/>
        <w:spacing w:beforeAutospacing="0" w:afterAutospacing="0" w:line="560" w:lineRule="exact"/>
        <w:ind w:left="0" w:leftChars="0"/>
        <w:rPr>
          <w:rFonts w:hint="eastAsia" w:ascii="仿宋_GB2312" w:hAnsi="仿宋_GB2312" w:eastAsia="仿宋_GB2312"/>
          <w:color w:val="000000" w:themeColor="text1"/>
          <w:sz w:val="32"/>
          <w:szCs w:val="32"/>
          <w:highlight w:val="none"/>
          <w14:textFill>
            <w14:solidFill>
              <w14:schemeClr w14:val="tx1"/>
            </w14:solidFill>
          </w14:textFill>
        </w:rPr>
      </w:pPr>
    </w:p>
    <w:p>
      <w:pPr>
        <w:pStyle w:val="2"/>
        <w:keepNext w:val="0"/>
        <w:keepLines w:val="0"/>
        <w:pageBreakBefore w:val="0"/>
        <w:widowControl w:val="0"/>
        <w:wordWrap/>
        <w:topLinePunct w:val="0"/>
        <w:bidi w:val="0"/>
        <w:spacing w:before="0" w:beforeLines="0" w:beforeAutospacing="0" w:after="0" w:afterLines="0" w:afterAutospacing="0" w:line="560" w:lineRule="exact"/>
        <w:ind w:left="0" w:leftChars="0"/>
        <w:rPr>
          <w:rFonts w:hint="eastAsia" w:ascii="仿宋_GB2312" w:hAnsi="仿宋_GB2312" w:eastAsia="仿宋_GB2312"/>
          <w:color w:val="000000" w:themeColor="text1"/>
          <w:sz w:val="32"/>
          <w:szCs w:val="32"/>
          <w:highlight w:val="none"/>
          <w14:textFill>
            <w14:solidFill>
              <w14:schemeClr w14:val="tx1"/>
            </w14:solidFill>
          </w14:textFill>
        </w:rPr>
      </w:pPr>
    </w:p>
    <w:p>
      <w:pPr>
        <w:keepNext w:val="0"/>
        <w:keepLines w:val="0"/>
        <w:pageBreakBefore w:val="0"/>
        <w:widowControl w:val="0"/>
        <w:wordWrap/>
        <w:topLinePunct w:val="0"/>
        <w:bidi w:val="0"/>
        <w:spacing w:beforeAutospacing="0" w:afterAutospacing="0" w:line="560" w:lineRule="exact"/>
        <w:ind w:left="0" w:leftChars="0"/>
        <w:rPr>
          <w:rFonts w:hint="eastAsia" w:ascii="仿宋_GB2312" w:hAnsi="仿宋_GB2312" w:eastAsia="仿宋_GB2312"/>
          <w:color w:val="000000" w:themeColor="text1"/>
          <w:sz w:val="32"/>
          <w:szCs w:val="32"/>
          <w:highlight w:val="none"/>
          <w14:textFill>
            <w14:solidFill>
              <w14:schemeClr w14:val="tx1"/>
            </w14:solidFill>
          </w14:textFill>
        </w:rPr>
      </w:pPr>
    </w:p>
    <w:p>
      <w:pPr>
        <w:pStyle w:val="2"/>
        <w:keepNext w:val="0"/>
        <w:keepLines w:val="0"/>
        <w:pageBreakBefore w:val="0"/>
        <w:widowControl w:val="0"/>
        <w:wordWrap/>
        <w:topLinePunct w:val="0"/>
        <w:bidi w:val="0"/>
        <w:spacing w:before="0" w:beforeLines="0" w:beforeAutospacing="0" w:after="0" w:afterLines="0" w:afterAutospacing="0" w:line="560" w:lineRule="exact"/>
        <w:ind w:left="0" w:leftChars="0"/>
        <w:rPr>
          <w:rFonts w:hint="eastAsia" w:ascii="仿宋_GB2312" w:hAnsi="仿宋_GB2312" w:eastAsia="仿宋_GB2312"/>
          <w:color w:val="000000" w:themeColor="text1"/>
          <w:sz w:val="32"/>
          <w:szCs w:val="32"/>
          <w:highlight w:val="none"/>
          <w14:textFill>
            <w14:solidFill>
              <w14:schemeClr w14:val="tx1"/>
            </w14:solidFill>
          </w14:textFill>
        </w:rPr>
      </w:pPr>
    </w:p>
    <w:p>
      <w:pPr>
        <w:keepNext w:val="0"/>
        <w:keepLines w:val="0"/>
        <w:pageBreakBefore w:val="0"/>
        <w:widowControl w:val="0"/>
        <w:wordWrap/>
        <w:topLinePunct w:val="0"/>
        <w:bidi w:val="0"/>
        <w:spacing w:beforeAutospacing="0" w:afterAutospacing="0" w:line="560" w:lineRule="exact"/>
        <w:ind w:left="0" w:leftChars="0"/>
        <w:rPr>
          <w:rFonts w:hint="eastAsia" w:ascii="仿宋_GB2312" w:hAnsi="仿宋_GB2312" w:eastAsia="仿宋_GB2312"/>
          <w:color w:val="000000" w:themeColor="text1"/>
          <w:sz w:val="32"/>
          <w:szCs w:val="32"/>
          <w:highlight w:val="none"/>
          <w14:textFill>
            <w14:solidFill>
              <w14:schemeClr w14:val="tx1"/>
            </w14:solidFill>
          </w14:textFill>
        </w:rPr>
      </w:pPr>
    </w:p>
    <w:p>
      <w:pPr>
        <w:pStyle w:val="2"/>
        <w:keepNext w:val="0"/>
        <w:keepLines w:val="0"/>
        <w:pageBreakBefore w:val="0"/>
        <w:widowControl w:val="0"/>
        <w:wordWrap/>
        <w:topLinePunct w:val="0"/>
        <w:bidi w:val="0"/>
        <w:spacing w:before="0" w:beforeLines="0" w:beforeAutospacing="0" w:after="0" w:afterLines="0" w:afterAutospacing="0" w:line="560" w:lineRule="exact"/>
        <w:ind w:left="0" w:leftChars="0"/>
        <w:rPr>
          <w:rFonts w:hint="eastAsia" w:ascii="仿宋_GB2312" w:hAnsi="仿宋_GB2312" w:eastAsia="仿宋_GB2312"/>
          <w:color w:val="000000" w:themeColor="text1"/>
          <w:sz w:val="32"/>
          <w:szCs w:val="32"/>
          <w:highlight w:val="none"/>
          <w14:textFill>
            <w14:solidFill>
              <w14:schemeClr w14:val="tx1"/>
            </w14:solidFill>
          </w14:textFill>
        </w:rPr>
      </w:pPr>
    </w:p>
    <w:p>
      <w:pPr>
        <w:keepNext w:val="0"/>
        <w:keepLines w:val="0"/>
        <w:pageBreakBefore w:val="0"/>
        <w:widowControl w:val="0"/>
        <w:wordWrap/>
        <w:topLinePunct w:val="0"/>
        <w:bidi w:val="0"/>
        <w:spacing w:beforeAutospacing="0" w:afterAutospacing="0" w:line="560" w:lineRule="exact"/>
        <w:ind w:left="0" w:leftChars="0"/>
        <w:rPr>
          <w:rFonts w:hint="eastAsia" w:ascii="仿宋_GB2312" w:hAnsi="仿宋_GB2312" w:eastAsia="仿宋_GB2312"/>
          <w:color w:val="000000" w:themeColor="text1"/>
          <w:sz w:val="32"/>
          <w:szCs w:val="32"/>
          <w:highlight w:val="none"/>
          <w14:textFill>
            <w14:solidFill>
              <w14:schemeClr w14:val="tx1"/>
            </w14:solidFill>
          </w14:textFill>
        </w:rPr>
      </w:pPr>
    </w:p>
    <w:p>
      <w:pPr>
        <w:pStyle w:val="2"/>
        <w:keepNext w:val="0"/>
        <w:keepLines w:val="0"/>
        <w:pageBreakBefore w:val="0"/>
        <w:widowControl w:val="0"/>
        <w:wordWrap/>
        <w:topLinePunct w:val="0"/>
        <w:bidi w:val="0"/>
        <w:spacing w:before="0" w:beforeLines="0" w:beforeAutospacing="0" w:after="0" w:afterLines="0" w:afterAutospacing="0" w:line="560" w:lineRule="exact"/>
        <w:ind w:left="0" w:leftChars="0"/>
        <w:rPr>
          <w:rFonts w:hint="eastAsia" w:ascii="仿宋_GB2312" w:hAnsi="仿宋_GB2312" w:eastAsia="仿宋_GB2312"/>
          <w:color w:val="000000" w:themeColor="text1"/>
          <w:sz w:val="32"/>
          <w:szCs w:val="32"/>
          <w:highlight w:val="none"/>
          <w14:textFill>
            <w14:solidFill>
              <w14:schemeClr w14:val="tx1"/>
            </w14:solidFill>
          </w14:textFill>
        </w:rPr>
      </w:pPr>
    </w:p>
    <w:p>
      <w:pPr>
        <w:keepNext w:val="0"/>
        <w:keepLines w:val="0"/>
        <w:pageBreakBefore w:val="0"/>
        <w:widowControl w:val="0"/>
        <w:wordWrap/>
        <w:topLinePunct w:val="0"/>
        <w:bidi w:val="0"/>
        <w:spacing w:beforeAutospacing="0" w:afterAutospacing="0" w:line="560" w:lineRule="exact"/>
        <w:ind w:left="0" w:leftChars="0"/>
        <w:rPr>
          <w:rFonts w:hint="eastAsia" w:ascii="仿宋_GB2312" w:hAnsi="仿宋_GB2312" w:eastAsia="仿宋_GB2312"/>
          <w:color w:val="000000" w:themeColor="text1"/>
          <w:sz w:val="32"/>
          <w:szCs w:val="32"/>
          <w:highlight w:val="none"/>
          <w14:textFill>
            <w14:solidFill>
              <w14:schemeClr w14:val="tx1"/>
            </w14:solidFill>
          </w14:textFill>
        </w:rPr>
      </w:pPr>
    </w:p>
    <w:p>
      <w:pPr>
        <w:keepNext w:val="0"/>
        <w:keepLines w:val="0"/>
        <w:pageBreakBefore w:val="0"/>
        <w:widowControl w:val="0"/>
        <w:wordWrap/>
        <w:topLinePunct w:val="0"/>
        <w:bidi w:val="0"/>
        <w:spacing w:beforeAutospacing="0" w:afterAutospacing="0" w:line="560" w:lineRule="exact"/>
        <w:ind w:left="0" w:leftChars="0"/>
        <w:rPr>
          <w:rFonts w:hint="eastAsia" w:ascii="仿宋_GB2312" w:hAnsi="仿宋_GB2312" w:eastAsia="仿宋_GB2312"/>
          <w:color w:val="000000" w:themeColor="text1"/>
          <w:sz w:val="32"/>
          <w:szCs w:val="32"/>
          <w:highlight w:val="none"/>
          <w14:textFill>
            <w14:solidFill>
              <w14:schemeClr w14:val="tx1"/>
            </w14:solidFill>
          </w14:textFill>
        </w:rPr>
      </w:pPr>
    </w:p>
    <w:p>
      <w:pPr>
        <w:pStyle w:val="2"/>
        <w:keepNext w:val="0"/>
        <w:keepLines w:val="0"/>
        <w:pageBreakBefore w:val="0"/>
        <w:widowControl w:val="0"/>
        <w:wordWrap/>
        <w:topLinePunct w:val="0"/>
        <w:bidi w:val="0"/>
        <w:spacing w:before="0" w:beforeLines="0" w:beforeAutospacing="0" w:after="0" w:afterLines="0" w:afterAutospacing="0" w:line="560" w:lineRule="exact"/>
        <w:ind w:left="0" w:leftChars="0"/>
        <w:rPr>
          <w:rFonts w:hint="eastAsia" w:ascii="仿宋_GB2312" w:hAnsi="仿宋_GB2312" w:eastAsia="仿宋_GB2312"/>
          <w:color w:val="000000" w:themeColor="text1"/>
          <w:sz w:val="32"/>
          <w:szCs w:val="32"/>
          <w:highlight w:val="none"/>
          <w14:textFill>
            <w14:solidFill>
              <w14:schemeClr w14:val="tx1"/>
            </w14:solidFill>
          </w14:textFill>
        </w:rPr>
      </w:pPr>
    </w:p>
    <w:p>
      <w:pPr>
        <w:keepNext w:val="0"/>
        <w:keepLines w:val="0"/>
        <w:pageBreakBefore w:val="0"/>
        <w:widowControl w:val="0"/>
        <w:kinsoku/>
        <w:wordWrap/>
        <w:topLinePunct w:val="0"/>
        <w:autoSpaceDE/>
        <w:bidi w:val="0"/>
        <w:spacing w:beforeAutospacing="0" w:afterAutospacing="0" w:line="560" w:lineRule="exact"/>
        <w:ind w:left="0" w:leftChars="0" w:firstLine="0" w:firstLineChars="0"/>
        <w:jc w:val="center"/>
        <w:textAlignment w:val="auto"/>
        <w:rPr>
          <w:rFonts w:hint="eastAsia" w:ascii="方正小标宋简体" w:hAnsi="方正小标宋简体" w:eastAsia="方正小标宋简体" w:cs="方正小标宋简体"/>
          <w:color w:val="auto"/>
          <w:sz w:val="44"/>
          <w:szCs w:val="44"/>
          <w:highlight w:val="none"/>
        </w:rPr>
      </w:pPr>
    </w:p>
    <w:p>
      <w:pPr>
        <w:keepNext w:val="0"/>
        <w:keepLines w:val="0"/>
        <w:pageBreakBefore w:val="0"/>
        <w:widowControl w:val="0"/>
        <w:kinsoku/>
        <w:wordWrap/>
        <w:topLinePunct w:val="0"/>
        <w:autoSpaceDE/>
        <w:bidi w:val="0"/>
        <w:spacing w:beforeAutospacing="0" w:afterAutospacing="0" w:line="560" w:lineRule="exact"/>
        <w:ind w:left="0" w:leftChars="0" w:firstLine="0" w:firstLineChars="0"/>
        <w:jc w:val="center"/>
        <w:textAlignment w:val="auto"/>
        <w:rPr>
          <w:rFonts w:hint="eastAsia" w:ascii="方正小标宋简体" w:hAnsi="方正小标宋简体" w:eastAsia="方正小标宋简体" w:cs="方正小标宋简体"/>
          <w:color w:val="auto"/>
          <w:sz w:val="44"/>
          <w:szCs w:val="44"/>
          <w:highlight w:val="none"/>
        </w:rPr>
      </w:pPr>
    </w:p>
    <w:p>
      <w:pPr>
        <w:keepNext w:val="0"/>
        <w:keepLines w:val="0"/>
        <w:pageBreakBefore w:val="0"/>
        <w:widowControl w:val="0"/>
        <w:kinsoku/>
        <w:wordWrap/>
        <w:topLinePunct w:val="0"/>
        <w:autoSpaceDE/>
        <w:bidi w:val="0"/>
        <w:spacing w:beforeAutospacing="0" w:afterAutospacing="0" w:line="560" w:lineRule="exact"/>
        <w:ind w:left="0" w:leftChars="0" w:firstLine="0" w:firstLineChars="0"/>
        <w:jc w:val="center"/>
        <w:textAlignment w:val="auto"/>
        <w:rPr>
          <w:rFonts w:hint="eastAsia" w:ascii="方正小标宋简体" w:hAnsi="方正小标宋简体" w:eastAsia="方正小标宋简体" w:cs="方正小标宋简体"/>
          <w:color w:val="auto"/>
          <w:sz w:val="44"/>
          <w:szCs w:val="44"/>
          <w:highlight w:val="none"/>
        </w:rPr>
      </w:pPr>
    </w:p>
    <w:p>
      <w:pPr>
        <w:keepNext w:val="0"/>
        <w:keepLines w:val="0"/>
        <w:pageBreakBefore w:val="0"/>
        <w:widowControl w:val="0"/>
        <w:kinsoku/>
        <w:wordWrap/>
        <w:topLinePunct w:val="0"/>
        <w:autoSpaceDE/>
        <w:bidi w:val="0"/>
        <w:spacing w:beforeAutospacing="0" w:afterAutospacing="0" w:line="560" w:lineRule="exact"/>
        <w:ind w:left="0" w:leftChars="0" w:firstLine="0" w:firstLineChars="0"/>
        <w:jc w:val="center"/>
        <w:textAlignment w:val="auto"/>
        <w:rPr>
          <w:rFonts w:hint="eastAsia" w:ascii="方正小标宋简体" w:hAnsi="方正小标宋简体" w:eastAsia="方正小标宋简体" w:cs="方正小标宋简体"/>
          <w:color w:val="auto"/>
          <w:sz w:val="44"/>
          <w:szCs w:val="44"/>
          <w:highlight w:val="none"/>
        </w:rPr>
      </w:pPr>
    </w:p>
    <w:p>
      <w:pPr>
        <w:keepNext w:val="0"/>
        <w:keepLines w:val="0"/>
        <w:pageBreakBefore w:val="0"/>
        <w:widowControl w:val="0"/>
        <w:kinsoku/>
        <w:wordWrap/>
        <w:topLinePunct w:val="0"/>
        <w:autoSpaceDE/>
        <w:bidi w:val="0"/>
        <w:spacing w:beforeAutospacing="0" w:afterAutospacing="0" w:line="560" w:lineRule="exact"/>
        <w:ind w:left="0" w:leftChars="0" w:firstLine="0" w:firstLineChars="0"/>
        <w:jc w:val="center"/>
        <w:textAlignment w:val="auto"/>
        <w:rPr>
          <w:rFonts w:hint="eastAsia" w:ascii="方正小标宋简体" w:hAnsi="方正小标宋简体" w:eastAsia="方正小标宋简体" w:cs="方正小标宋简体"/>
          <w:color w:val="auto"/>
          <w:sz w:val="44"/>
          <w:szCs w:val="44"/>
          <w:highlight w:val="none"/>
        </w:rPr>
      </w:pPr>
    </w:p>
    <w:p>
      <w:pPr>
        <w:keepNext w:val="0"/>
        <w:keepLines w:val="0"/>
        <w:pageBreakBefore w:val="0"/>
        <w:widowControl w:val="0"/>
        <w:kinsoku/>
        <w:wordWrap/>
        <w:topLinePunct w:val="0"/>
        <w:autoSpaceDE/>
        <w:bidi w:val="0"/>
        <w:spacing w:beforeAutospacing="0" w:afterAutospacing="0" w:line="560" w:lineRule="exact"/>
        <w:ind w:left="0" w:leftChars="0" w:firstLine="0" w:firstLineChars="0"/>
        <w:jc w:val="center"/>
        <w:textAlignment w:val="auto"/>
        <w:rPr>
          <w:rFonts w:hint="eastAsia" w:ascii="方正小标宋简体" w:hAnsi="方正小标宋简体" w:eastAsia="方正小标宋简体" w:cs="方正小标宋简体"/>
          <w:color w:val="auto"/>
          <w:sz w:val="44"/>
          <w:szCs w:val="44"/>
          <w:highlight w:val="none"/>
        </w:rPr>
      </w:pPr>
    </w:p>
    <w:p>
      <w:pPr>
        <w:keepNext w:val="0"/>
        <w:keepLines w:val="0"/>
        <w:pageBreakBefore w:val="0"/>
        <w:widowControl w:val="0"/>
        <w:kinsoku/>
        <w:wordWrap/>
        <w:topLinePunct w:val="0"/>
        <w:autoSpaceDE/>
        <w:bidi w:val="0"/>
        <w:spacing w:beforeAutospacing="0" w:afterAutospacing="0" w:line="560" w:lineRule="exact"/>
        <w:ind w:left="0" w:leftChars="0" w:firstLine="0" w:firstLineChars="0"/>
        <w:jc w:val="center"/>
        <w:textAlignment w:val="auto"/>
        <w:rPr>
          <w:rFonts w:hint="eastAsia" w:ascii="方正小标宋简体" w:hAnsi="方正小标宋简体" w:eastAsia="方正小标宋简体" w:cs="方正小标宋简体"/>
          <w:color w:val="auto"/>
          <w:sz w:val="44"/>
          <w:szCs w:val="44"/>
          <w:highlight w:val="none"/>
        </w:rPr>
      </w:pPr>
    </w:p>
    <w:p>
      <w:pPr>
        <w:keepNext w:val="0"/>
        <w:keepLines w:val="0"/>
        <w:pageBreakBefore w:val="0"/>
        <w:widowControl w:val="0"/>
        <w:kinsoku/>
        <w:wordWrap/>
        <w:topLinePunct w:val="0"/>
        <w:autoSpaceDE/>
        <w:bidi w:val="0"/>
        <w:spacing w:beforeAutospacing="0" w:afterAutospacing="0" w:line="560" w:lineRule="exact"/>
        <w:ind w:left="0" w:leftChars="0" w:firstLine="0" w:firstLineChars="0"/>
        <w:jc w:val="center"/>
        <w:textAlignment w:val="auto"/>
        <w:rPr>
          <w:rFonts w:hint="eastAsia" w:ascii="方正小标宋简体" w:hAnsi="方正小标宋简体" w:eastAsia="方正小标宋简体" w:cs="方正小标宋简体"/>
          <w:color w:val="auto"/>
          <w:sz w:val="44"/>
          <w:szCs w:val="44"/>
          <w:highlight w:val="none"/>
        </w:rPr>
      </w:pPr>
    </w:p>
    <w:p>
      <w:pP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br w:type="page"/>
      </w:r>
    </w:p>
    <w:p>
      <w:pPr>
        <w:keepNext w:val="0"/>
        <w:keepLines w:val="0"/>
        <w:pageBreakBefore w:val="0"/>
        <w:widowControl w:val="0"/>
        <w:kinsoku/>
        <w:wordWrap/>
        <w:topLinePunct w:val="0"/>
        <w:autoSpaceDE/>
        <w:bidi w:val="0"/>
        <w:spacing w:beforeAutospacing="0" w:afterAutospacing="0" w:line="560" w:lineRule="exact"/>
        <w:ind w:left="0" w:leftChars="0" w:firstLine="0" w:firstLineChars="0"/>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南山区</w:t>
      </w:r>
      <w:r>
        <w:rPr>
          <w:rFonts w:hint="eastAsia" w:ascii="方正小标宋简体" w:hAnsi="方正小标宋简体" w:eastAsia="方正小标宋简体" w:cs="方正小标宋简体"/>
          <w:color w:val="auto"/>
          <w:sz w:val="44"/>
          <w:szCs w:val="44"/>
          <w:highlight w:val="none"/>
          <w:lang w:eastAsia="zh-CN"/>
        </w:rPr>
        <w:t>促进</w:t>
      </w:r>
      <w:r>
        <w:rPr>
          <w:rFonts w:hint="eastAsia" w:ascii="方正小标宋简体" w:hAnsi="方正小标宋简体" w:eastAsia="方正小标宋简体" w:cs="方正小标宋简体"/>
          <w:color w:val="auto"/>
          <w:sz w:val="44"/>
          <w:szCs w:val="44"/>
          <w:highlight w:val="none"/>
        </w:rPr>
        <w:t>金融业发展专项扶持措施</w:t>
      </w:r>
    </w:p>
    <w:p>
      <w:pPr>
        <w:keepNext w:val="0"/>
        <w:keepLines w:val="0"/>
        <w:pageBreakBefore w:val="0"/>
        <w:widowControl w:val="0"/>
        <w:wordWrap/>
        <w:topLinePunct w:val="0"/>
        <w:bidi w:val="0"/>
        <w:spacing w:beforeAutospacing="0" w:afterAutospacing="0" w:line="560" w:lineRule="exact"/>
        <w:ind w:left="0" w:leftChars="0" w:right="0" w:rightChars="0" w:firstLine="0" w:firstLineChars="0"/>
        <w:jc w:val="center"/>
        <w:rPr>
          <w:highlight w:val="none"/>
        </w:rPr>
      </w:pPr>
      <w:r>
        <w:rPr>
          <w:rFonts w:hint="eastAsia" w:ascii="宋体" w:hAnsi="宋体" w:eastAsia="宋体" w:cs="宋体"/>
          <w:b/>
          <w:bCs/>
          <w:color w:val="auto"/>
          <w:sz w:val="36"/>
          <w:szCs w:val="36"/>
          <w:highlight w:val="none"/>
          <w:lang w:eastAsia="zh-CN"/>
        </w:rPr>
        <w:t>（征求意见稿）</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textAlignment w:val="auto"/>
        <w:rPr>
          <w:rFonts w:hint="eastAsia"/>
          <w:color w:val="auto"/>
          <w:sz w:val="32"/>
          <w:szCs w:val="40"/>
          <w:highlight w:val="none"/>
        </w:rPr>
      </w:pPr>
      <w:bookmarkStart w:id="1927" w:name="_Toc18331"/>
      <w:bookmarkStart w:id="1928" w:name="_Toc15321"/>
      <w:bookmarkStart w:id="1929" w:name="_Toc2612"/>
      <w:bookmarkStart w:id="1930" w:name="_Toc12606"/>
      <w:bookmarkStart w:id="1931" w:name="_Toc28798"/>
      <w:bookmarkStart w:id="1932" w:name="_Toc290805007"/>
      <w:bookmarkStart w:id="1933" w:name="_Toc14485"/>
      <w:bookmarkStart w:id="1934" w:name="_Toc25764"/>
      <w:bookmarkStart w:id="1935" w:name="_Toc6691"/>
      <w:bookmarkStart w:id="1936" w:name="_Toc8977"/>
      <w:bookmarkStart w:id="1937" w:name="_Toc16444"/>
      <w:bookmarkStart w:id="1938" w:name="_Toc12045"/>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textAlignment w:val="auto"/>
        <w:rPr>
          <w:rFonts w:hint="eastAsia"/>
          <w:color w:val="auto"/>
          <w:sz w:val="32"/>
          <w:szCs w:val="24"/>
          <w:highlight w:val="none"/>
        </w:rPr>
      </w:pPr>
      <w:r>
        <w:rPr>
          <w:rFonts w:hint="eastAsia"/>
          <w:color w:val="auto"/>
          <w:sz w:val="32"/>
          <w:szCs w:val="24"/>
          <w:highlight w:val="none"/>
        </w:rPr>
        <w:t>第一章  总  则</w:t>
      </w:r>
      <w:bookmarkEnd w:id="1927"/>
      <w:bookmarkEnd w:id="1928"/>
      <w:bookmarkEnd w:id="1929"/>
      <w:bookmarkEnd w:id="1930"/>
      <w:bookmarkEnd w:id="1931"/>
      <w:bookmarkEnd w:id="1932"/>
      <w:bookmarkEnd w:id="1933"/>
      <w:bookmarkEnd w:id="1934"/>
      <w:bookmarkEnd w:id="1935"/>
      <w:bookmarkEnd w:id="1936"/>
      <w:bookmarkEnd w:id="1937"/>
      <w:bookmarkEnd w:id="1938"/>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0"/>
        <w:textAlignment w:val="auto"/>
        <w:rPr>
          <w:rFonts w:hint="eastAsia" w:ascii="仿宋_GB2312" w:hAnsi="仿宋_GB2312" w:eastAsia="仿宋_GB2312" w:cs="仿宋_GB2312"/>
          <w:b/>
          <w:bCs/>
          <w:color w:val="auto"/>
          <w:sz w:val="32"/>
          <w:szCs w:val="40"/>
          <w:highlight w:val="none"/>
        </w:rPr>
      </w:pPr>
    </w:p>
    <w:p>
      <w:pPr>
        <w:keepNext w:val="0"/>
        <w:keepLines w:val="0"/>
        <w:pageBreakBefore w:val="0"/>
        <w:widowControl w:val="0"/>
        <w:kinsoku/>
        <w:wordWrap/>
        <w:topLinePunct w:val="0"/>
        <w:autoSpaceDE/>
        <w:autoSpaceDN/>
        <w:bidi w:val="0"/>
        <w:spacing w:beforeAutospacing="0" w:afterAutospacing="0" w:line="560" w:lineRule="exact"/>
        <w:ind w:left="0" w:leftChars="0" w:firstLine="643" w:firstLineChars="0"/>
        <w:textAlignment w:val="auto"/>
        <w:rPr>
          <w:rFonts w:hint="eastAsia" w:ascii="仿宋_GB2312" w:hAnsi="仿宋_GB2312" w:eastAsia="仿宋_GB2312" w:cs="仿宋_GB2312"/>
          <w:color w:val="auto"/>
          <w:sz w:val="32"/>
          <w:szCs w:val="40"/>
          <w:highlight w:val="none"/>
        </w:rPr>
      </w:pPr>
      <w:r>
        <w:rPr>
          <w:rFonts w:hint="eastAsia" w:ascii="楷体_GB2312" w:hAnsi="楷体_GB2312" w:eastAsia="楷体_GB2312" w:cs="楷体_GB2312"/>
          <w:b/>
          <w:bCs w:val="0"/>
          <w:color w:val="auto"/>
          <w:sz w:val="32"/>
          <w:szCs w:val="24"/>
          <w:highlight w:val="none"/>
        </w:rPr>
        <w:t>第一条</w:t>
      </w:r>
      <w:r>
        <w:rPr>
          <w:rFonts w:hint="eastAsia" w:ascii="楷体_GB2312" w:hAnsi="楷体_GB2312" w:eastAsia="楷体_GB2312" w:cs="楷体_GB2312"/>
          <w:b/>
          <w:color w:val="auto"/>
          <w:sz w:val="32"/>
          <w:szCs w:val="24"/>
          <w:highlight w:val="none"/>
        </w:rPr>
        <w:t xml:space="preserve"> </w:t>
      </w:r>
      <w:r>
        <w:rPr>
          <w:rFonts w:hint="eastAsia" w:ascii="仿宋_GB2312" w:hAnsi="仿宋_GB2312" w:eastAsia="仿宋_GB2312" w:cs="仿宋_GB2312"/>
          <w:color w:val="auto"/>
          <w:sz w:val="32"/>
          <w:szCs w:val="40"/>
          <w:highlight w:val="none"/>
        </w:rPr>
        <w:t xml:space="preserve"> 为促进</w:t>
      </w:r>
      <w:r>
        <w:rPr>
          <w:rFonts w:hint="default" w:ascii="仿宋_GB2312" w:hAnsi="仿宋_GB2312" w:eastAsia="仿宋_GB2312" w:cs="仿宋_GB2312"/>
          <w:color w:val="auto"/>
          <w:sz w:val="32"/>
          <w:szCs w:val="40"/>
          <w:highlight w:val="none"/>
        </w:rPr>
        <w:t>南山</w:t>
      </w:r>
      <w:r>
        <w:rPr>
          <w:rFonts w:hint="eastAsia" w:ascii="仿宋_GB2312" w:hAnsi="仿宋_GB2312" w:eastAsia="仿宋_GB2312" w:cs="仿宋_GB2312"/>
          <w:color w:val="auto"/>
          <w:sz w:val="32"/>
          <w:szCs w:val="40"/>
          <w:highlight w:val="none"/>
        </w:rPr>
        <w:t>区经济发展方式转变，推动产业结构优化升级，抢抓粤港澳大湾区和深圳先行示范区“双区”建设机遇，实现南山建成世界级创新型滨海中心城区的目标，同时规范南山区自主创新产业发展专项资金经济发展分项资金的使用和管理，根据《南山区自主创新产业发展专项资金管理办法》和</w:t>
      </w:r>
      <w:r>
        <w:rPr>
          <w:rFonts w:hint="default" w:ascii="仿宋_GB2312" w:hAnsi="仿宋_GB2312" w:eastAsia="仿宋_GB2312" w:cs="仿宋_GB2312"/>
          <w:color w:val="auto"/>
          <w:sz w:val="32"/>
          <w:szCs w:val="40"/>
          <w:highlight w:val="none"/>
        </w:rPr>
        <w:t>南山</w:t>
      </w:r>
      <w:r>
        <w:rPr>
          <w:rFonts w:hint="eastAsia" w:ascii="仿宋_GB2312" w:hAnsi="仿宋_GB2312" w:eastAsia="仿宋_GB2312" w:cs="仿宋_GB2312"/>
          <w:color w:val="auto"/>
          <w:sz w:val="32"/>
          <w:szCs w:val="40"/>
          <w:highlight w:val="none"/>
        </w:rPr>
        <w:t>区金融发展工作部署，制定本措施。</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0"/>
        <w:textAlignment w:val="auto"/>
        <w:rPr>
          <w:rFonts w:hint="eastAsia" w:ascii="仿宋_GB2312" w:hAnsi="仿宋_GB2312" w:eastAsia="仿宋_GB2312" w:cs="仿宋_GB2312"/>
          <w:color w:val="auto"/>
          <w:sz w:val="32"/>
          <w:szCs w:val="40"/>
          <w:highlight w:val="none"/>
        </w:rPr>
      </w:pPr>
      <w:r>
        <w:rPr>
          <w:rFonts w:hint="eastAsia" w:ascii="楷体_GB2312" w:hAnsi="楷体_GB2312" w:eastAsia="楷体_GB2312" w:cs="楷体_GB2312"/>
          <w:b/>
          <w:bCs w:val="0"/>
          <w:color w:val="auto"/>
          <w:sz w:val="32"/>
          <w:szCs w:val="24"/>
          <w:highlight w:val="none"/>
        </w:rPr>
        <w:t>第二条</w:t>
      </w:r>
      <w:r>
        <w:rPr>
          <w:rFonts w:hint="eastAsia" w:ascii="楷体_GB2312" w:hAnsi="楷体_GB2312" w:eastAsia="楷体_GB2312" w:cs="楷体_GB2312"/>
          <w:b/>
          <w:color w:val="auto"/>
          <w:sz w:val="32"/>
          <w:szCs w:val="24"/>
          <w:highlight w:val="none"/>
        </w:rPr>
        <w:t xml:space="preserve"> </w:t>
      </w:r>
      <w:r>
        <w:rPr>
          <w:rFonts w:hint="eastAsia" w:ascii="仿宋_GB2312" w:hAnsi="仿宋_GB2312" w:eastAsia="仿宋_GB2312" w:cs="仿宋_GB2312"/>
          <w:color w:val="auto"/>
          <w:sz w:val="32"/>
          <w:szCs w:val="40"/>
          <w:highlight w:val="none"/>
        </w:rPr>
        <w:t xml:space="preserve"> 本措施支持范围包括</w:t>
      </w:r>
      <w:r>
        <w:rPr>
          <w:rFonts w:hint="eastAsia" w:ascii="仿宋_GB2312" w:hAnsi="仿宋_GB2312" w:eastAsia="仿宋_GB2312" w:cs="仿宋_GB2312"/>
          <w:color w:val="auto"/>
          <w:sz w:val="32"/>
          <w:szCs w:val="40"/>
          <w:highlight w:val="none"/>
          <w:lang w:val="en-US" w:eastAsia="zh-CN"/>
        </w:rPr>
        <w:t>但不限于</w:t>
      </w:r>
      <w:r>
        <w:rPr>
          <w:rFonts w:hint="eastAsia" w:ascii="仿宋_GB2312" w:hAnsi="仿宋_GB2312" w:cs="仿宋_GB2312"/>
          <w:color w:val="auto"/>
          <w:sz w:val="32"/>
          <w:szCs w:val="40"/>
          <w:highlight w:val="none"/>
          <w:lang w:val="en-US" w:eastAsia="zh-CN"/>
        </w:rPr>
        <w:t>促进金融产业发展</w:t>
      </w:r>
      <w:r>
        <w:rPr>
          <w:rFonts w:hint="eastAsia" w:ascii="仿宋_GB2312" w:hAnsi="仿宋_GB2312" w:eastAsia="仿宋_GB2312" w:cs="仿宋_GB2312"/>
          <w:color w:val="auto"/>
          <w:sz w:val="32"/>
          <w:szCs w:val="40"/>
          <w:highlight w:val="none"/>
        </w:rPr>
        <w:t>、</w:t>
      </w:r>
      <w:r>
        <w:rPr>
          <w:rFonts w:hint="eastAsia" w:ascii="仿宋_GB2312" w:hAnsi="仿宋_GB2312" w:eastAsia="仿宋_GB2312" w:cs="仿宋_GB2312"/>
          <w:color w:val="auto"/>
          <w:sz w:val="32"/>
          <w:szCs w:val="40"/>
          <w:highlight w:val="none"/>
          <w:lang w:val="en-US" w:eastAsia="zh-CN"/>
        </w:rPr>
        <w:t>推动金融服务实体经济</w:t>
      </w:r>
      <w:r>
        <w:rPr>
          <w:rFonts w:hint="eastAsia" w:ascii="仿宋_GB2312" w:hAnsi="仿宋_GB2312" w:eastAsia="仿宋_GB2312" w:cs="仿宋_GB2312"/>
          <w:color w:val="auto"/>
          <w:sz w:val="32"/>
          <w:szCs w:val="40"/>
          <w:highlight w:val="none"/>
        </w:rPr>
        <w:t>、</w:t>
      </w:r>
      <w:r>
        <w:rPr>
          <w:rFonts w:hint="eastAsia" w:ascii="仿宋_GB2312" w:hAnsi="仿宋_GB2312" w:eastAsia="仿宋_GB2312" w:cs="仿宋_GB2312"/>
          <w:color w:val="auto"/>
          <w:sz w:val="32"/>
          <w:szCs w:val="40"/>
          <w:highlight w:val="none"/>
          <w:lang w:val="en-US" w:eastAsia="zh-CN"/>
        </w:rPr>
        <w:t>鼓励企业上市发展三</w:t>
      </w:r>
      <w:r>
        <w:rPr>
          <w:rFonts w:hint="eastAsia" w:ascii="仿宋_GB2312" w:hAnsi="仿宋_GB2312" w:eastAsia="仿宋_GB2312" w:cs="仿宋_GB2312"/>
          <w:color w:val="auto"/>
          <w:sz w:val="32"/>
          <w:szCs w:val="40"/>
          <w:highlight w:val="none"/>
        </w:rPr>
        <w:t>大部分，每部分均有相应扶持政策。各部分资金量在资金总量控制范围内可适当调整。</w:t>
      </w:r>
    </w:p>
    <w:p>
      <w:pPr>
        <w:keepNext w:val="0"/>
        <w:keepLines w:val="0"/>
        <w:pageBreakBefore w:val="0"/>
        <w:widowControl w:val="0"/>
        <w:kinsoku/>
        <w:wordWrap/>
        <w:topLinePunct w:val="0"/>
        <w:autoSpaceDE/>
        <w:autoSpaceDN/>
        <w:bidi w:val="0"/>
        <w:spacing w:beforeAutospacing="0" w:afterAutospacing="0" w:line="560" w:lineRule="exact"/>
        <w:ind w:left="0" w:leftChars="0" w:firstLine="643" w:firstLineChars="0"/>
        <w:textAlignment w:val="auto"/>
        <w:rPr>
          <w:rFonts w:hint="eastAsia" w:ascii="仿宋_GB2312" w:hAnsi="仿宋_GB2312" w:eastAsia="仿宋_GB2312" w:cs="仿宋_GB2312"/>
          <w:color w:val="auto"/>
          <w:sz w:val="32"/>
          <w:szCs w:val="40"/>
          <w:highlight w:val="none"/>
        </w:rPr>
      </w:pPr>
      <w:r>
        <w:rPr>
          <w:rFonts w:hint="eastAsia" w:ascii="楷体_GB2312" w:hAnsi="楷体_GB2312" w:eastAsia="楷体_GB2312" w:cs="楷体_GB2312"/>
          <w:b/>
          <w:bCs w:val="0"/>
          <w:color w:val="auto"/>
          <w:sz w:val="32"/>
          <w:szCs w:val="24"/>
          <w:highlight w:val="none"/>
        </w:rPr>
        <w:t>第</w:t>
      </w:r>
      <w:r>
        <w:rPr>
          <w:rFonts w:hint="eastAsia" w:ascii="楷体_GB2312" w:hAnsi="楷体_GB2312" w:eastAsia="楷体_GB2312" w:cs="楷体_GB2312"/>
          <w:b/>
          <w:bCs w:val="0"/>
          <w:color w:val="auto"/>
          <w:sz w:val="32"/>
          <w:szCs w:val="24"/>
          <w:highlight w:val="none"/>
          <w:lang w:val="en-US" w:eastAsia="zh-CN"/>
        </w:rPr>
        <w:t>三</w:t>
      </w:r>
      <w:r>
        <w:rPr>
          <w:rFonts w:hint="eastAsia" w:ascii="楷体_GB2312" w:hAnsi="楷体_GB2312" w:eastAsia="楷体_GB2312" w:cs="楷体_GB2312"/>
          <w:b/>
          <w:bCs w:val="0"/>
          <w:color w:val="auto"/>
          <w:sz w:val="32"/>
          <w:szCs w:val="24"/>
          <w:highlight w:val="none"/>
        </w:rPr>
        <w:t>条</w:t>
      </w:r>
      <w:r>
        <w:rPr>
          <w:rFonts w:hint="eastAsia" w:ascii="楷体_GB2312" w:hAnsi="楷体_GB2312" w:eastAsia="楷体_GB2312" w:cs="楷体_GB2312"/>
          <w:b/>
          <w:color w:val="auto"/>
          <w:sz w:val="32"/>
          <w:szCs w:val="24"/>
          <w:highlight w:val="none"/>
        </w:rPr>
        <w:t xml:space="preserve">  </w:t>
      </w:r>
      <w:r>
        <w:rPr>
          <w:rFonts w:hint="eastAsia" w:ascii="仿宋_GB2312" w:hAnsi="仿宋_GB2312" w:cs="仿宋_GB2312"/>
          <w:color w:val="auto"/>
          <w:sz w:val="32"/>
          <w:szCs w:val="40"/>
          <w:highlight w:val="none"/>
          <w:lang w:eastAsia="zh-CN"/>
        </w:rPr>
        <w:t>区工业和信息化局（</w:t>
      </w:r>
      <w:r>
        <w:rPr>
          <w:rFonts w:hint="eastAsia" w:ascii="仿宋_GB2312" w:hAnsi="仿宋_GB2312" w:eastAsia="仿宋_GB2312" w:cs="仿宋_GB2312"/>
          <w:color w:val="auto"/>
          <w:sz w:val="32"/>
          <w:szCs w:val="40"/>
          <w:highlight w:val="none"/>
        </w:rPr>
        <w:t>区金融发展服务中心</w:t>
      </w:r>
      <w:r>
        <w:rPr>
          <w:rFonts w:hint="eastAsia" w:ascii="仿宋_GB2312" w:hAnsi="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为本措施的主管部门，区自主创新产业发展专项资金领导小组、</w:t>
      </w:r>
      <w:r>
        <w:rPr>
          <w:rFonts w:hint="eastAsia" w:ascii="仿宋_GB2312" w:hAnsi="仿宋_GB2312" w:cs="仿宋_GB2312"/>
          <w:color w:val="auto"/>
          <w:sz w:val="32"/>
          <w:szCs w:val="40"/>
          <w:highlight w:val="none"/>
          <w:lang w:eastAsia="zh-CN"/>
        </w:rPr>
        <w:t>区工业和信息化局</w:t>
      </w:r>
      <w:r>
        <w:rPr>
          <w:rFonts w:hint="eastAsia" w:ascii="仿宋_GB2312" w:hAnsi="仿宋_GB2312" w:eastAsia="仿宋_GB2312" w:cs="仿宋_GB2312"/>
          <w:color w:val="auto"/>
          <w:sz w:val="32"/>
          <w:szCs w:val="40"/>
          <w:highlight w:val="none"/>
        </w:rPr>
        <w:t>分项资金审批专责小组为本措施的决策审批机构。</w:t>
      </w:r>
    </w:p>
    <w:p>
      <w:pPr>
        <w:keepNext w:val="0"/>
        <w:keepLines w:val="0"/>
        <w:pageBreakBefore w:val="0"/>
        <w:widowControl w:val="0"/>
        <w:kinsoku/>
        <w:wordWrap/>
        <w:topLinePunct w:val="0"/>
        <w:autoSpaceDE/>
        <w:autoSpaceDN/>
        <w:bidi w:val="0"/>
        <w:spacing w:beforeAutospacing="0" w:afterAutospacing="0" w:line="560" w:lineRule="exact"/>
        <w:ind w:left="0" w:leftChars="0" w:firstLine="643" w:firstLineChars="0"/>
        <w:textAlignment w:val="auto"/>
        <w:rPr>
          <w:rFonts w:hint="eastAsia" w:ascii="仿宋_GB2312" w:hAnsi="仿宋_GB2312" w:eastAsia="仿宋_GB2312" w:cs="仿宋_GB2312"/>
          <w:color w:val="auto"/>
          <w:sz w:val="32"/>
          <w:szCs w:val="40"/>
          <w:highlight w:val="none"/>
        </w:rPr>
      </w:pPr>
      <w:r>
        <w:rPr>
          <w:rFonts w:hint="eastAsia" w:ascii="楷体_GB2312" w:hAnsi="楷体_GB2312" w:eastAsia="楷体_GB2312" w:cs="楷体_GB2312"/>
          <w:b/>
          <w:bCs w:val="0"/>
          <w:color w:val="auto"/>
          <w:sz w:val="32"/>
          <w:szCs w:val="24"/>
          <w:highlight w:val="none"/>
        </w:rPr>
        <w:t>第</w:t>
      </w:r>
      <w:r>
        <w:rPr>
          <w:rFonts w:hint="eastAsia" w:ascii="楷体_GB2312" w:hAnsi="楷体_GB2312" w:eastAsia="楷体_GB2312" w:cs="楷体_GB2312"/>
          <w:b/>
          <w:bCs w:val="0"/>
          <w:color w:val="auto"/>
          <w:sz w:val="32"/>
          <w:szCs w:val="24"/>
          <w:highlight w:val="none"/>
          <w:lang w:val="en-US" w:eastAsia="zh-CN"/>
        </w:rPr>
        <w:t>四</w:t>
      </w:r>
      <w:r>
        <w:rPr>
          <w:rFonts w:hint="eastAsia" w:ascii="楷体_GB2312" w:hAnsi="楷体_GB2312" w:eastAsia="楷体_GB2312" w:cs="楷体_GB2312"/>
          <w:b/>
          <w:bCs w:val="0"/>
          <w:color w:val="auto"/>
          <w:sz w:val="32"/>
          <w:szCs w:val="24"/>
          <w:highlight w:val="none"/>
        </w:rPr>
        <w:t>条</w:t>
      </w:r>
      <w:r>
        <w:rPr>
          <w:rFonts w:hint="eastAsia" w:ascii="楷体_GB2312" w:hAnsi="楷体_GB2312" w:eastAsia="楷体_GB2312" w:cs="楷体_GB2312"/>
          <w:b/>
          <w:color w:val="auto"/>
          <w:sz w:val="32"/>
          <w:szCs w:val="24"/>
          <w:highlight w:val="none"/>
        </w:rPr>
        <w:t xml:space="preserve"> </w:t>
      </w:r>
      <w:r>
        <w:rPr>
          <w:rFonts w:hint="eastAsia" w:ascii="仿宋_GB2312" w:hAnsi="仿宋_GB2312" w:eastAsia="仿宋_GB2312" w:cs="仿宋_GB2312"/>
          <w:color w:val="auto"/>
          <w:sz w:val="32"/>
          <w:szCs w:val="40"/>
          <w:highlight w:val="none"/>
        </w:rPr>
        <w:t xml:space="preserve"> 本措施申报主体原则上应符合《南山区自主创新产业发展专项资金管理办法》规定的</w:t>
      </w:r>
      <w:r>
        <w:rPr>
          <w:rFonts w:hint="eastAsia" w:ascii="仿宋_GB2312" w:hAnsi="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注册地</w:t>
      </w:r>
      <w:r>
        <w:rPr>
          <w:rFonts w:hint="eastAsia" w:ascii="仿宋_GB2312" w:hAnsi="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独立法人</w:t>
      </w:r>
      <w:r>
        <w:rPr>
          <w:rFonts w:hint="eastAsia" w:ascii="仿宋_GB2312" w:hAnsi="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区级地方财力贡献</w:t>
      </w:r>
      <w:r>
        <w:rPr>
          <w:rFonts w:hint="eastAsia" w:ascii="仿宋_GB2312" w:hAnsi="仿宋_GB2312" w:cs="仿宋_GB2312"/>
          <w:color w:val="auto"/>
          <w:sz w:val="32"/>
          <w:szCs w:val="40"/>
          <w:highlight w:val="none"/>
          <w:lang w:eastAsia="zh-CN"/>
        </w:rPr>
        <w:t>”“每家单位</w:t>
      </w:r>
      <w:r>
        <w:rPr>
          <w:rFonts w:hint="eastAsia" w:ascii="仿宋_GB2312" w:hAnsi="仿宋_GB2312" w:cs="仿宋_GB2312"/>
          <w:color w:val="auto"/>
          <w:szCs w:val="32"/>
          <w:highlight w:val="none"/>
          <w:shd w:val="clear" w:fill="FFFFFF"/>
        </w:rPr>
        <w:t>单个扶持项目资助金额原则上不得超过1000万元</w:t>
      </w:r>
      <w:r>
        <w:rPr>
          <w:rFonts w:hint="eastAsia" w:ascii="仿宋_GB2312" w:hAnsi="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等相关条件，以下情形除外：</w:t>
      </w:r>
    </w:p>
    <w:p>
      <w:pPr>
        <w:keepNext w:val="0"/>
        <w:keepLines w:val="0"/>
        <w:pageBreakBefore w:val="0"/>
        <w:widowControl w:val="0"/>
        <w:kinsoku/>
        <w:wordWrap/>
        <w:topLinePunct w:val="0"/>
        <w:autoSpaceDE/>
        <w:autoSpaceDN/>
        <w:bidi w:val="0"/>
        <w:spacing w:beforeAutospacing="0" w:afterAutospacing="0" w:line="560" w:lineRule="exact"/>
        <w:ind w:left="0" w:leftChars="0" w:firstLine="640" w:firstLineChars="200"/>
        <w:textAlignment w:val="auto"/>
        <w:rPr>
          <w:rFonts w:hint="eastAsia"/>
          <w:highlight w:val="none"/>
        </w:rPr>
      </w:pPr>
      <w:bookmarkStart w:id="1939" w:name="_Toc29700_WPSOffice_Level1"/>
      <w:bookmarkStart w:id="1940" w:name="_Toc25901"/>
      <w:bookmarkStart w:id="1941" w:name="_Toc845"/>
      <w:bookmarkStart w:id="1942" w:name="_Toc2223"/>
      <w:bookmarkStart w:id="1943" w:name="_Toc14562"/>
      <w:bookmarkStart w:id="1944" w:name="_Toc31588"/>
      <w:bookmarkStart w:id="1945" w:name="_Toc16544"/>
      <w:bookmarkStart w:id="1946" w:name="_Toc5034"/>
      <w:bookmarkStart w:id="1947" w:name="_Toc12109"/>
      <w:bookmarkStart w:id="1948" w:name="_Toc22079"/>
      <w:bookmarkStart w:id="1949" w:name="_Toc22093"/>
      <w:bookmarkStart w:id="1950" w:name="_Toc12760"/>
      <w:bookmarkStart w:id="1951" w:name="_Toc23072"/>
      <w:bookmarkStart w:id="1952" w:name="_Toc20780"/>
      <w:bookmarkStart w:id="1953" w:name="_Toc18220"/>
      <w:r>
        <w:rPr>
          <w:rFonts w:hint="eastAsia"/>
          <w:highlight w:val="none"/>
        </w:rPr>
        <w:t>（一）申请第十</w:t>
      </w:r>
      <w:r>
        <w:rPr>
          <w:rFonts w:hint="eastAsia"/>
          <w:highlight w:val="none"/>
          <w:lang w:eastAsia="zh-CN"/>
        </w:rPr>
        <w:t>四</w:t>
      </w:r>
      <w:r>
        <w:rPr>
          <w:rFonts w:hint="eastAsia"/>
          <w:highlight w:val="none"/>
        </w:rPr>
        <w:t>条的企业可不受</w:t>
      </w:r>
      <w:r>
        <w:rPr>
          <w:rFonts w:hint="default" w:ascii="仿宋_GB2312" w:hAnsi="仿宋_GB2312" w:eastAsia="仿宋_GB2312" w:cs="仿宋_GB2312"/>
          <w:color w:val="auto"/>
          <w:sz w:val="32"/>
          <w:szCs w:val="40"/>
          <w:highlight w:val="none"/>
        </w:rPr>
        <w:t>《南山区自主创新产业发展专项资金管理办法》规定的</w:t>
      </w:r>
      <w:r>
        <w:rPr>
          <w:rFonts w:hint="eastAsia"/>
          <w:highlight w:val="none"/>
          <w:lang w:eastAsia="zh-CN"/>
        </w:rPr>
        <w:t>“</w:t>
      </w:r>
      <w:r>
        <w:rPr>
          <w:rFonts w:hint="eastAsia"/>
          <w:highlight w:val="none"/>
        </w:rPr>
        <w:t>注册地</w:t>
      </w:r>
      <w:r>
        <w:rPr>
          <w:rFonts w:hint="eastAsia"/>
          <w:highlight w:val="none"/>
          <w:lang w:eastAsia="zh-CN"/>
        </w:rPr>
        <w:t>”</w:t>
      </w:r>
      <w:r>
        <w:rPr>
          <w:rFonts w:hint="eastAsia"/>
          <w:highlight w:val="none"/>
        </w:rPr>
        <w:t>资格条件限制。</w:t>
      </w:r>
    </w:p>
    <w:p>
      <w:pPr>
        <w:keepNext w:val="0"/>
        <w:keepLines w:val="0"/>
        <w:pageBreakBefore w:val="0"/>
        <w:widowControl w:val="0"/>
        <w:kinsoku/>
        <w:wordWrap/>
        <w:topLinePunct w:val="0"/>
        <w:autoSpaceDE/>
        <w:autoSpaceDN/>
        <w:bidi w:val="0"/>
        <w:spacing w:beforeAutospacing="0" w:afterAutospacing="0" w:line="560" w:lineRule="exact"/>
        <w:ind w:left="0" w:leftChars="0" w:firstLine="640" w:firstLineChars="200"/>
        <w:textAlignment w:val="auto"/>
        <w:rPr>
          <w:rFonts w:hint="eastAsia"/>
          <w:highlight w:val="none"/>
        </w:rPr>
      </w:pPr>
      <w:r>
        <w:rPr>
          <w:rFonts w:hint="eastAsia"/>
          <w:highlight w:val="none"/>
        </w:rPr>
        <w:t>（二）申请第</w:t>
      </w:r>
      <w:r>
        <w:rPr>
          <w:rFonts w:hint="eastAsia"/>
          <w:highlight w:val="none"/>
          <w:lang w:eastAsia="zh-CN"/>
        </w:rPr>
        <w:t>五</w:t>
      </w:r>
      <w:r>
        <w:rPr>
          <w:rFonts w:hint="eastAsia"/>
          <w:highlight w:val="none"/>
        </w:rPr>
        <w:t>条至第十</w:t>
      </w:r>
      <w:r>
        <w:rPr>
          <w:rFonts w:hint="eastAsia"/>
          <w:highlight w:val="none"/>
          <w:lang w:eastAsia="zh-CN"/>
        </w:rPr>
        <w:t>六</w:t>
      </w:r>
      <w:r>
        <w:rPr>
          <w:rFonts w:hint="eastAsia"/>
          <w:highlight w:val="none"/>
        </w:rPr>
        <w:t>条的金融企业可不受</w:t>
      </w:r>
      <w:r>
        <w:rPr>
          <w:rFonts w:hint="default" w:ascii="仿宋_GB2312" w:hAnsi="仿宋_GB2312" w:eastAsia="仿宋_GB2312" w:cs="仿宋_GB2312"/>
          <w:color w:val="auto"/>
          <w:sz w:val="32"/>
          <w:szCs w:val="40"/>
          <w:highlight w:val="none"/>
        </w:rPr>
        <w:t>《南山区自主创新产业发展专项资金管理办法》规定的</w:t>
      </w:r>
      <w:r>
        <w:rPr>
          <w:rFonts w:hint="eastAsia"/>
          <w:highlight w:val="none"/>
          <w:lang w:eastAsia="zh-CN"/>
        </w:rPr>
        <w:t>“</w:t>
      </w:r>
      <w:r>
        <w:rPr>
          <w:rFonts w:hint="eastAsia"/>
          <w:highlight w:val="none"/>
        </w:rPr>
        <w:t>独立法人</w:t>
      </w:r>
      <w:r>
        <w:rPr>
          <w:rFonts w:hint="eastAsia"/>
          <w:highlight w:val="none"/>
          <w:lang w:eastAsia="zh-CN"/>
        </w:rPr>
        <w:t>”</w:t>
      </w:r>
      <w:r>
        <w:rPr>
          <w:rFonts w:hint="eastAsia"/>
          <w:highlight w:val="none"/>
        </w:rPr>
        <w:t>资格条件限制。</w:t>
      </w:r>
    </w:p>
    <w:p>
      <w:pPr>
        <w:keepNext w:val="0"/>
        <w:keepLines w:val="0"/>
        <w:pageBreakBefore w:val="0"/>
        <w:widowControl w:val="0"/>
        <w:kinsoku/>
        <w:wordWrap/>
        <w:topLinePunct w:val="0"/>
        <w:autoSpaceDE/>
        <w:autoSpaceDN/>
        <w:bidi w:val="0"/>
        <w:spacing w:beforeAutospacing="0" w:afterAutospacing="0" w:line="560" w:lineRule="exact"/>
        <w:ind w:left="0" w:leftChars="0" w:firstLine="640" w:firstLineChars="200"/>
        <w:textAlignment w:val="auto"/>
        <w:rPr>
          <w:rFonts w:hint="eastAsia"/>
          <w:highlight w:val="none"/>
        </w:rPr>
      </w:pPr>
      <w:r>
        <w:rPr>
          <w:rFonts w:hint="eastAsia"/>
          <w:highlight w:val="none"/>
        </w:rPr>
        <w:t>（三）申请第</w:t>
      </w:r>
      <w:r>
        <w:rPr>
          <w:rFonts w:hint="eastAsia"/>
          <w:highlight w:val="none"/>
          <w:lang w:eastAsia="zh-CN"/>
        </w:rPr>
        <w:t>八</w:t>
      </w:r>
      <w:r>
        <w:rPr>
          <w:rFonts w:hint="eastAsia"/>
          <w:highlight w:val="none"/>
        </w:rPr>
        <w:t>条至第十</w:t>
      </w:r>
      <w:r>
        <w:rPr>
          <w:rFonts w:hint="eastAsia"/>
          <w:highlight w:val="none"/>
          <w:lang w:eastAsia="zh-CN"/>
        </w:rPr>
        <w:t>六</w:t>
      </w:r>
      <w:r>
        <w:rPr>
          <w:rFonts w:hint="eastAsia"/>
          <w:highlight w:val="none"/>
        </w:rPr>
        <w:t>条、第十</w:t>
      </w:r>
      <w:r>
        <w:rPr>
          <w:rFonts w:hint="eastAsia"/>
          <w:highlight w:val="none"/>
          <w:lang w:eastAsia="zh-CN"/>
        </w:rPr>
        <w:t>七</w:t>
      </w:r>
      <w:r>
        <w:rPr>
          <w:rFonts w:hint="eastAsia"/>
          <w:highlight w:val="none"/>
        </w:rPr>
        <w:t>条第一款、第十</w:t>
      </w:r>
      <w:r>
        <w:rPr>
          <w:rFonts w:hint="eastAsia"/>
          <w:highlight w:val="none"/>
          <w:lang w:eastAsia="zh-CN"/>
        </w:rPr>
        <w:t>八</w:t>
      </w:r>
      <w:r>
        <w:rPr>
          <w:rFonts w:hint="eastAsia"/>
          <w:highlight w:val="none"/>
        </w:rPr>
        <w:t>条（知识产权证券化融资额1000万元及以下）、第十</w:t>
      </w:r>
      <w:r>
        <w:rPr>
          <w:rFonts w:hint="eastAsia"/>
          <w:highlight w:val="none"/>
          <w:lang w:eastAsia="zh-CN"/>
        </w:rPr>
        <w:t>九</w:t>
      </w:r>
      <w:r>
        <w:rPr>
          <w:rFonts w:hint="eastAsia"/>
          <w:highlight w:val="none"/>
        </w:rPr>
        <w:t>条第一款、第二十</w:t>
      </w:r>
      <w:r>
        <w:rPr>
          <w:rFonts w:hint="eastAsia"/>
          <w:highlight w:val="none"/>
          <w:lang w:eastAsia="zh-CN"/>
        </w:rPr>
        <w:t>一</w:t>
      </w:r>
      <w:r>
        <w:rPr>
          <w:rFonts w:hint="eastAsia"/>
          <w:highlight w:val="none"/>
        </w:rPr>
        <w:t>条、第二十</w:t>
      </w:r>
      <w:r>
        <w:rPr>
          <w:rFonts w:hint="eastAsia"/>
          <w:highlight w:val="none"/>
          <w:lang w:eastAsia="zh-CN"/>
        </w:rPr>
        <w:t>三</w:t>
      </w:r>
      <w:r>
        <w:rPr>
          <w:rFonts w:hint="eastAsia"/>
          <w:highlight w:val="none"/>
        </w:rPr>
        <w:t>条、第二十</w:t>
      </w:r>
      <w:r>
        <w:rPr>
          <w:rFonts w:hint="eastAsia"/>
          <w:highlight w:val="none"/>
          <w:lang w:eastAsia="zh-CN"/>
        </w:rPr>
        <w:t>四</w:t>
      </w:r>
      <w:r>
        <w:rPr>
          <w:rFonts w:hint="eastAsia"/>
          <w:highlight w:val="none"/>
        </w:rPr>
        <w:t>条的企业不受《南山区自主创新产业发展专项资金管理办法》规定的“区级地方财力贡献”限制。</w:t>
      </w:r>
    </w:p>
    <w:p>
      <w:pPr>
        <w:keepNext w:val="0"/>
        <w:keepLines w:val="0"/>
        <w:pageBreakBefore w:val="0"/>
        <w:widowControl w:val="0"/>
        <w:kinsoku/>
        <w:wordWrap/>
        <w:topLinePunct w:val="0"/>
        <w:autoSpaceDE/>
        <w:autoSpaceDN/>
        <w:bidi w:val="0"/>
        <w:spacing w:beforeAutospacing="0" w:afterAutospacing="0" w:line="560" w:lineRule="exact"/>
        <w:ind w:left="0" w:leftChars="0" w:firstLine="640" w:firstLineChars="200"/>
        <w:textAlignment w:val="auto"/>
        <w:rPr>
          <w:rFonts w:hint="eastAsia" w:ascii="仿宋_GB2312" w:hAnsi="仿宋_GB2312" w:cs="仿宋_GB2312"/>
          <w:color w:val="auto"/>
          <w:szCs w:val="32"/>
          <w:highlight w:val="none"/>
          <w:shd w:val="clear" w:fill="FFFFFF"/>
        </w:rPr>
      </w:pPr>
      <w:r>
        <w:rPr>
          <w:rFonts w:hint="eastAsia" w:ascii="仿宋_GB2312" w:hAnsi="仿宋_GB2312" w:cs="仿宋_GB2312"/>
          <w:color w:val="auto"/>
          <w:szCs w:val="32"/>
          <w:highlight w:val="none"/>
          <w:shd w:val="clear" w:fill="FFFFFF"/>
          <w:lang w:eastAsia="zh-CN"/>
        </w:rPr>
        <w:t>（四）</w:t>
      </w:r>
      <w:r>
        <w:rPr>
          <w:rFonts w:hint="eastAsia" w:ascii="仿宋_GB2312" w:hAnsi="仿宋_GB2312" w:cs="仿宋_GB2312"/>
          <w:color w:val="auto"/>
          <w:szCs w:val="32"/>
          <w:highlight w:val="none"/>
          <w:shd w:val="clear" w:fill="FFFFFF"/>
        </w:rPr>
        <w:t>申请第</w:t>
      </w:r>
      <w:r>
        <w:rPr>
          <w:rFonts w:hint="eastAsia" w:ascii="仿宋_GB2312" w:hAnsi="仿宋_GB2312" w:cs="仿宋_GB2312"/>
          <w:color w:val="auto"/>
          <w:szCs w:val="32"/>
          <w:highlight w:val="none"/>
          <w:shd w:val="clear" w:fill="FFFFFF"/>
          <w:lang w:eastAsia="zh-CN"/>
        </w:rPr>
        <w:t>七</w:t>
      </w:r>
      <w:r>
        <w:rPr>
          <w:rFonts w:hint="eastAsia" w:ascii="仿宋_GB2312" w:hAnsi="仿宋_GB2312" w:cs="仿宋_GB2312"/>
          <w:color w:val="auto"/>
          <w:szCs w:val="32"/>
          <w:highlight w:val="none"/>
          <w:shd w:val="clear" w:fill="FFFFFF"/>
        </w:rPr>
        <w:t>条、第</w:t>
      </w:r>
      <w:r>
        <w:rPr>
          <w:rFonts w:hint="eastAsia" w:ascii="仿宋_GB2312" w:hAnsi="仿宋_GB2312" w:cs="仿宋_GB2312"/>
          <w:color w:val="auto"/>
          <w:szCs w:val="32"/>
          <w:highlight w:val="none"/>
          <w:shd w:val="clear" w:fill="FFFFFF"/>
          <w:lang w:eastAsia="zh-CN"/>
        </w:rPr>
        <w:t>八</w:t>
      </w:r>
      <w:r>
        <w:rPr>
          <w:rFonts w:hint="eastAsia" w:ascii="仿宋_GB2312" w:hAnsi="仿宋_GB2312" w:cs="仿宋_GB2312"/>
          <w:color w:val="auto"/>
          <w:szCs w:val="32"/>
          <w:highlight w:val="none"/>
          <w:shd w:val="clear" w:fill="FFFFFF"/>
        </w:rPr>
        <w:t>条、第十</w:t>
      </w:r>
      <w:r>
        <w:rPr>
          <w:rFonts w:hint="eastAsia" w:ascii="仿宋_GB2312" w:hAnsi="仿宋_GB2312" w:cs="仿宋_GB2312"/>
          <w:color w:val="auto"/>
          <w:szCs w:val="32"/>
          <w:highlight w:val="none"/>
          <w:shd w:val="clear" w:fill="FFFFFF"/>
          <w:lang w:eastAsia="zh-CN"/>
        </w:rPr>
        <w:t>五</w:t>
      </w:r>
      <w:r>
        <w:rPr>
          <w:rFonts w:hint="eastAsia" w:ascii="仿宋_GB2312" w:hAnsi="仿宋_GB2312" w:cs="仿宋_GB2312"/>
          <w:color w:val="auto"/>
          <w:szCs w:val="32"/>
          <w:highlight w:val="none"/>
          <w:shd w:val="clear" w:fill="FFFFFF"/>
        </w:rPr>
        <w:t>条、第十</w:t>
      </w:r>
      <w:r>
        <w:rPr>
          <w:rFonts w:hint="eastAsia" w:ascii="仿宋_GB2312" w:hAnsi="仿宋_GB2312" w:cs="仿宋_GB2312"/>
          <w:color w:val="auto"/>
          <w:szCs w:val="32"/>
          <w:highlight w:val="none"/>
          <w:shd w:val="clear" w:fill="FFFFFF"/>
          <w:lang w:eastAsia="zh-CN"/>
        </w:rPr>
        <w:t>六</w:t>
      </w:r>
      <w:r>
        <w:rPr>
          <w:rFonts w:hint="eastAsia" w:ascii="仿宋_GB2312" w:hAnsi="仿宋_GB2312" w:cs="仿宋_GB2312"/>
          <w:color w:val="auto"/>
          <w:szCs w:val="32"/>
          <w:highlight w:val="none"/>
          <w:shd w:val="clear" w:fill="FFFFFF"/>
        </w:rPr>
        <w:t>条、第三十条、第三十</w:t>
      </w:r>
      <w:r>
        <w:rPr>
          <w:rFonts w:hint="eastAsia" w:ascii="仿宋_GB2312" w:hAnsi="仿宋_GB2312" w:cs="仿宋_GB2312"/>
          <w:color w:val="auto"/>
          <w:szCs w:val="32"/>
          <w:highlight w:val="none"/>
          <w:shd w:val="clear" w:fill="FFFFFF"/>
          <w:lang w:eastAsia="zh-CN"/>
        </w:rPr>
        <w:t>一</w:t>
      </w:r>
      <w:r>
        <w:rPr>
          <w:rFonts w:hint="eastAsia" w:ascii="仿宋_GB2312" w:hAnsi="仿宋_GB2312" w:cs="仿宋_GB2312"/>
          <w:color w:val="auto"/>
          <w:szCs w:val="32"/>
          <w:highlight w:val="none"/>
          <w:shd w:val="clear" w:fill="FFFFFF"/>
        </w:rPr>
        <w:t>条的企业可不受《南山区自主创新产业发展专项资金管理办法》规定的“</w:t>
      </w:r>
      <w:r>
        <w:rPr>
          <w:rFonts w:hint="eastAsia" w:ascii="仿宋_GB2312" w:hAnsi="仿宋_GB2312" w:cs="仿宋_GB2312"/>
          <w:color w:val="auto"/>
          <w:szCs w:val="32"/>
          <w:highlight w:val="none"/>
          <w:shd w:val="clear" w:fill="FFFFFF"/>
          <w:lang w:eastAsia="zh-CN"/>
        </w:rPr>
        <w:t>每家单位</w:t>
      </w:r>
      <w:r>
        <w:rPr>
          <w:rFonts w:hint="eastAsia" w:ascii="仿宋_GB2312" w:hAnsi="仿宋_GB2312" w:cs="仿宋_GB2312"/>
          <w:color w:val="auto"/>
          <w:szCs w:val="32"/>
          <w:highlight w:val="none"/>
          <w:shd w:val="clear" w:fill="FFFFFF"/>
        </w:rPr>
        <w:t>单个扶持项目资助金额原则上不得超过1000万元”</w:t>
      </w:r>
      <w:r>
        <w:rPr>
          <w:rFonts w:hint="eastAsia" w:eastAsia="仿宋_GB2312"/>
          <w:kern w:val="2"/>
          <w:highlight w:val="none"/>
          <w:lang w:eastAsia="zh-CN"/>
        </w:rPr>
        <w:t>总量控制</w:t>
      </w:r>
      <w:r>
        <w:rPr>
          <w:rFonts w:hint="eastAsia" w:ascii="仿宋_GB2312" w:hAnsi="仿宋_GB2312" w:cs="仿宋_GB2312"/>
          <w:color w:val="auto"/>
          <w:szCs w:val="32"/>
          <w:highlight w:val="none"/>
          <w:shd w:val="clear" w:fill="FFFFFF"/>
        </w:rPr>
        <w:t>限制。</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jc w:val="lef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textAlignment w:val="auto"/>
        <w:rPr>
          <w:rFonts w:hint="eastAsia"/>
          <w:color w:val="auto"/>
          <w:highlight w:val="none"/>
        </w:rPr>
      </w:pPr>
      <w:bookmarkStart w:id="1954" w:name="_Toc444518832"/>
      <w:r>
        <w:rPr>
          <w:rFonts w:hint="eastAsia"/>
          <w:color w:val="auto"/>
          <w:highlight w:val="none"/>
        </w:rPr>
        <w:t>第</w:t>
      </w:r>
      <w:r>
        <w:rPr>
          <w:rFonts w:hint="eastAsia"/>
          <w:color w:val="auto"/>
          <w:highlight w:val="none"/>
          <w:lang w:val="en-US" w:eastAsia="zh-CN"/>
        </w:rPr>
        <w:t>二</w:t>
      </w:r>
      <w:r>
        <w:rPr>
          <w:rFonts w:hint="eastAsia"/>
          <w:color w:val="auto"/>
          <w:highlight w:val="none"/>
        </w:rPr>
        <w:t xml:space="preserve">章  </w:t>
      </w:r>
      <w:bookmarkEnd w:id="1939"/>
      <w:r>
        <w:rPr>
          <w:rFonts w:hint="eastAsia"/>
          <w:color w:val="auto"/>
          <w:highlight w:val="none"/>
        </w:rPr>
        <w:t>促进金融产业发展</w:t>
      </w:r>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p>
    <w:p>
      <w:pPr>
        <w:pStyle w:val="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firstLine="643"/>
        <w:textAlignment w:val="auto"/>
        <w:rPr>
          <w:rFonts w:hint="eastAsia" w:ascii="楷体_GB2312" w:hAnsi="楷体_GB2312" w:eastAsia="楷体_GB2312" w:cs="楷体_GB2312"/>
          <w:highlight w:val="none"/>
        </w:rPr>
      </w:pPr>
      <w:bookmarkStart w:id="1955" w:name="_Toc30949"/>
      <w:bookmarkStart w:id="1956" w:name="_Toc610"/>
      <w:bookmarkStart w:id="1957" w:name="_Toc8907"/>
      <w:bookmarkStart w:id="1958" w:name="_Toc29028"/>
      <w:bookmarkStart w:id="1959" w:name="_Toc31301"/>
      <w:bookmarkStart w:id="1960" w:name="_Toc29081"/>
      <w:bookmarkStart w:id="1961" w:name="_Toc1865420841"/>
      <w:bookmarkStart w:id="1962" w:name="_Toc3046"/>
      <w:bookmarkStart w:id="1963" w:name="_Toc20572"/>
      <w:bookmarkStart w:id="1964" w:name="_Toc3478"/>
      <w:bookmarkStart w:id="1965" w:name="_Toc21999"/>
      <w:bookmarkStart w:id="1966" w:name="_Toc2453"/>
      <w:bookmarkStart w:id="1967" w:name="_Toc20007"/>
      <w:bookmarkStart w:id="1968" w:name="_Toc10020"/>
      <w:bookmarkStart w:id="1969" w:name="_Toc15668"/>
      <w:bookmarkStart w:id="1970" w:name="_Toc4852"/>
      <w:bookmarkStart w:id="1971" w:name="_Toc2001_WPSOffice_Level2"/>
      <w:bookmarkStart w:id="1972" w:name="_Toc23330"/>
      <w:bookmarkStart w:id="1973" w:name="_Toc29622"/>
      <w:bookmarkStart w:id="1974" w:name="_Toc9159"/>
      <w:bookmarkStart w:id="1975" w:name="_Toc24488"/>
      <w:bookmarkStart w:id="1976" w:name="_Toc12973"/>
      <w:bookmarkStart w:id="1977" w:name="_Toc25601"/>
      <w:bookmarkStart w:id="1978" w:name="_Toc17784"/>
      <w:bookmarkStart w:id="1979" w:name="_Toc13361"/>
      <w:bookmarkStart w:id="1980" w:name="_Toc23600"/>
      <w:bookmarkStart w:id="1981" w:name="_Toc468992857"/>
      <w:bookmarkStart w:id="1982" w:name="_Toc1805579275"/>
    </w:p>
    <w:p>
      <w:pPr>
        <w:pStyle w:val="3"/>
        <w:keepNext w:val="0"/>
        <w:keepLines w:val="0"/>
        <w:pageBreakBefore w:val="0"/>
        <w:widowControl w:val="0"/>
        <w:kinsoku/>
        <w:wordWrap/>
        <w:topLinePunct w:val="0"/>
        <w:autoSpaceDE/>
        <w:autoSpaceDN/>
        <w:bidi w:val="0"/>
        <w:spacing w:before="0" w:beforeLines="0" w:beforeAutospacing="0" w:after="0" w:afterLines="0" w:afterAutospacing="0" w:line="560" w:lineRule="exact"/>
        <w:ind w:left="0" w:leftChars="0" w:firstLine="643"/>
        <w:jc w:val="both"/>
        <w:textAlignment w:val="auto"/>
        <w:rPr>
          <w:rFonts w:hint="eastAsia" w:ascii="楷体_GB2312" w:hAnsi="楷体_GB2312" w:eastAsia="楷体_GB2312" w:cs="楷体_GB2312"/>
          <w:color w:val="auto"/>
          <w:highlight w:val="none"/>
        </w:rPr>
      </w:pPr>
      <w:r>
        <w:rPr>
          <w:rFonts w:hint="eastAsia" w:ascii="楷体_GB2312" w:hAnsi="楷体_GB2312" w:eastAsia="楷体_GB2312" w:cs="楷体_GB2312"/>
          <w:color w:val="auto"/>
          <w:highlight w:val="none"/>
        </w:rPr>
        <w:t>第</w:t>
      </w:r>
      <w:r>
        <w:rPr>
          <w:rFonts w:hint="eastAsia" w:ascii="楷体_GB2312" w:hAnsi="楷体_GB2312" w:eastAsia="楷体_GB2312" w:cs="楷体_GB2312"/>
          <w:color w:val="auto"/>
          <w:highlight w:val="none"/>
          <w:lang w:val="en-US" w:eastAsia="zh-CN"/>
        </w:rPr>
        <w:t>五</w:t>
      </w:r>
      <w:r>
        <w:rPr>
          <w:rFonts w:hint="eastAsia" w:ascii="楷体_GB2312" w:hAnsi="楷体_GB2312" w:eastAsia="楷体_GB2312" w:cs="楷体_GB2312"/>
          <w:color w:val="auto"/>
          <w:highlight w:val="none"/>
        </w:rPr>
        <w:t>条</w:t>
      </w:r>
      <w:r>
        <w:rPr>
          <w:rFonts w:hint="eastAsia"/>
          <w:color w:val="auto"/>
          <w:highlight w:val="none"/>
        </w:rPr>
        <w:t xml:space="preserve">  </w:t>
      </w:r>
      <w:r>
        <w:rPr>
          <w:rFonts w:hint="eastAsia" w:ascii="楷体_GB2312" w:hAnsi="楷体_GB2312" w:eastAsia="楷体_GB2312" w:cs="楷体_GB2312"/>
          <w:i w:val="0"/>
          <w:iCs w:val="0"/>
          <w:caps w:val="0"/>
          <w:color w:val="auto"/>
          <w:spacing w:val="0"/>
          <w:sz w:val="32"/>
          <w:szCs w:val="24"/>
          <w:highlight w:val="none"/>
          <w:shd w:val="clear" w:fill="auto"/>
          <w:lang w:val="en-US" w:eastAsia="zh-CN"/>
        </w:rPr>
        <w:t>经营增长支持</w:t>
      </w:r>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pPr>
        <w:keepNext w:val="0"/>
        <w:keepLines w:val="0"/>
        <w:pageBreakBefore w:val="0"/>
        <w:widowControl w:val="0"/>
        <w:kinsoku/>
        <w:wordWrap/>
        <w:topLinePunct w:val="0"/>
        <w:autoSpaceDE/>
        <w:autoSpaceDN/>
        <w:bidi w:val="0"/>
        <w:spacing w:beforeAutospacing="0" w:afterAutospacing="0" w:line="560" w:lineRule="exact"/>
        <w:ind w:left="0" w:leftChars="0" w:firstLine="640"/>
        <w:jc w:val="both"/>
        <w:textAlignment w:val="auto"/>
        <w:rPr>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对纳入南山区在地统计的高成长性金融</w:t>
      </w:r>
      <w:r>
        <w:rPr>
          <w:rFonts w:hint="eastAsia" w:ascii="仿宋_GB2312" w:hAnsi="仿宋_GB2312" w:cs="仿宋_GB2312"/>
          <w:i w:val="0"/>
          <w:iCs w:val="0"/>
          <w:caps w:val="0"/>
          <w:color w:val="auto"/>
          <w:spacing w:val="0"/>
          <w:sz w:val="32"/>
          <w:szCs w:val="32"/>
          <w:highlight w:val="none"/>
          <w:shd w:val="clear" w:fill="FFFFFF"/>
          <w:lang w:eastAsia="zh-CN"/>
        </w:rPr>
        <w:t>企业</w:t>
      </w:r>
      <w:r>
        <w:rPr>
          <w:rFonts w:hint="eastAsia" w:ascii="仿宋_GB2312" w:hAnsi="仿宋_GB2312" w:eastAsia="仿宋_GB2312" w:cs="仿宋_GB2312"/>
          <w:i w:val="0"/>
          <w:iCs w:val="0"/>
          <w:caps w:val="0"/>
          <w:color w:val="auto"/>
          <w:spacing w:val="0"/>
          <w:sz w:val="32"/>
          <w:szCs w:val="32"/>
          <w:highlight w:val="none"/>
          <w:shd w:val="clear" w:fill="FFFFFF"/>
        </w:rPr>
        <w:t>（含深圳市级分支机构），依条件给予最高</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5</w:t>
      </w:r>
      <w:r>
        <w:rPr>
          <w:rFonts w:hint="eastAsia" w:ascii="仿宋_GB2312" w:hAnsi="仿宋_GB2312" w:eastAsia="仿宋_GB2312" w:cs="仿宋_GB2312"/>
          <w:i w:val="0"/>
          <w:iCs w:val="0"/>
          <w:caps w:val="0"/>
          <w:color w:val="auto"/>
          <w:spacing w:val="0"/>
          <w:sz w:val="32"/>
          <w:szCs w:val="32"/>
          <w:highlight w:val="none"/>
          <w:shd w:val="clear" w:fill="FFFFFF"/>
        </w:rPr>
        <w:t>00万元的经营增长支持，用于为公司经营增长作出贡献的高管及骨干团队奖励。</w:t>
      </w:r>
      <w:bookmarkEnd w:id="1968"/>
      <w:bookmarkEnd w:id="1969"/>
      <w:bookmarkEnd w:id="1970"/>
    </w:p>
    <w:p>
      <w:pPr>
        <w:pStyle w:val="3"/>
        <w:keepNext w:val="0"/>
        <w:keepLines w:val="0"/>
        <w:pageBreakBefore w:val="0"/>
        <w:widowControl w:val="0"/>
        <w:kinsoku/>
        <w:wordWrap/>
        <w:topLinePunct w:val="0"/>
        <w:autoSpaceDE/>
        <w:autoSpaceDN/>
        <w:bidi w:val="0"/>
        <w:spacing w:before="0" w:beforeLines="0" w:beforeAutospacing="0" w:after="0" w:afterLines="0" w:afterAutospacing="0" w:line="560" w:lineRule="exact"/>
        <w:ind w:left="0" w:leftChars="0" w:firstLine="643"/>
        <w:jc w:val="both"/>
        <w:textAlignment w:val="auto"/>
        <w:rPr>
          <w:rFonts w:hint="eastAsia" w:ascii="楷体_GB2312" w:hAnsi="楷体_GB2312" w:eastAsia="楷体_GB2312" w:cs="楷体_GB2312"/>
          <w:color w:val="auto"/>
          <w:highlight w:val="none"/>
          <w:lang w:val="en-US" w:eastAsia="zh-CN"/>
        </w:rPr>
      </w:pPr>
      <w:bookmarkStart w:id="1983" w:name="_Toc27275"/>
      <w:bookmarkStart w:id="1984" w:name="_Toc825"/>
      <w:bookmarkStart w:id="1985" w:name="_Toc24321"/>
      <w:bookmarkStart w:id="1986" w:name="_Toc6410"/>
      <w:bookmarkStart w:id="1987" w:name="_Toc7020"/>
      <w:bookmarkStart w:id="1988" w:name="_Toc944"/>
      <w:bookmarkStart w:id="1989" w:name="_Toc15545"/>
      <w:bookmarkStart w:id="1990" w:name="_Toc1899895562"/>
      <w:bookmarkStart w:id="1991" w:name="_Toc25260"/>
      <w:bookmarkStart w:id="1992" w:name="_Toc11399"/>
      <w:bookmarkStart w:id="1993" w:name="_Toc25751"/>
      <w:bookmarkStart w:id="1994" w:name="_Toc9201"/>
      <w:bookmarkStart w:id="1995" w:name="_Toc2147178898"/>
      <w:bookmarkStart w:id="1996" w:name="_Toc808380728"/>
      <w:bookmarkStart w:id="1997" w:name="_Toc15283"/>
      <w:bookmarkStart w:id="1998" w:name="_Toc29431"/>
      <w:bookmarkStart w:id="1999" w:name="_Toc4686"/>
      <w:bookmarkStart w:id="2000" w:name="_Toc738072393"/>
      <w:bookmarkStart w:id="2001" w:name="_Toc1075955147"/>
      <w:r>
        <w:rPr>
          <w:rFonts w:hint="eastAsia" w:ascii="楷体_GB2312" w:hAnsi="楷体_GB2312" w:eastAsia="楷体_GB2312" w:cs="楷体_GB2312"/>
          <w:color w:val="auto"/>
          <w:highlight w:val="none"/>
          <w:lang w:eastAsia="zh-CN"/>
        </w:rPr>
        <w:t>第</w:t>
      </w:r>
      <w:r>
        <w:rPr>
          <w:rFonts w:hint="eastAsia" w:ascii="楷体_GB2312" w:hAnsi="楷体_GB2312" w:eastAsia="楷体_GB2312" w:cs="楷体_GB2312"/>
          <w:color w:val="auto"/>
          <w:highlight w:val="none"/>
          <w:lang w:val="en-US" w:eastAsia="zh-CN"/>
        </w:rPr>
        <w:t>六</w:t>
      </w:r>
      <w:r>
        <w:rPr>
          <w:rFonts w:hint="eastAsia" w:ascii="楷体_GB2312" w:hAnsi="楷体_GB2312" w:eastAsia="楷体_GB2312" w:cs="楷体_GB2312"/>
          <w:color w:val="auto"/>
          <w:highlight w:val="none"/>
          <w:lang w:eastAsia="zh-CN"/>
        </w:rPr>
        <w:t>条</w:t>
      </w:r>
      <w:r>
        <w:rPr>
          <w:rFonts w:hint="eastAsia" w:ascii="楷体_GB2312" w:hAnsi="楷体_GB2312" w:eastAsia="楷体_GB2312" w:cs="楷体_GB2312"/>
          <w:color w:val="auto"/>
          <w:highlight w:val="none"/>
          <w:lang w:val="en-US" w:eastAsia="zh-CN"/>
        </w:rPr>
        <w:t xml:space="preserve">  综合贡献支持</w:t>
      </w:r>
      <w:bookmarkEnd w:id="1983"/>
      <w:bookmarkEnd w:id="1984"/>
      <w:bookmarkEnd w:id="1985"/>
      <w:bookmarkEnd w:id="1986"/>
      <w:bookmarkEnd w:id="1987"/>
      <w:bookmarkEnd w:id="1988"/>
      <w:bookmarkEnd w:id="1989"/>
      <w:bookmarkEnd w:id="1990"/>
      <w:bookmarkEnd w:id="1991"/>
      <w:bookmarkEnd w:id="1992"/>
      <w:bookmarkEnd w:id="1993"/>
      <w:bookmarkEnd w:id="1994"/>
    </w:p>
    <w:p>
      <w:pPr>
        <w:keepNext w:val="0"/>
        <w:keepLines w:val="0"/>
        <w:pageBreakBefore w:val="0"/>
        <w:widowControl w:val="0"/>
        <w:numPr>
          <w:ilvl w:val="-1"/>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60" w:lineRule="exact"/>
        <w:ind w:left="0" w:leftChars="0" w:right="0" w:firstLine="640" w:firstLineChars="0"/>
        <w:jc w:val="both"/>
        <w:textAlignment w:val="auto"/>
        <w:rPr>
          <w:rFonts w:hint="eastAsia" w:ascii="仿宋_GB2312" w:hAnsi="仿宋_GB2312" w:cs="仿宋_GB2312"/>
          <w:color w:val="auto"/>
          <w:szCs w:val="32"/>
          <w:highlight w:val="none"/>
          <w:shd w:val="clear" w:fill="FFFFFF"/>
        </w:rPr>
      </w:pPr>
      <w:r>
        <w:rPr>
          <w:rFonts w:hint="eastAsia" w:ascii="仿宋_GB2312" w:hAnsi="仿宋_GB2312" w:eastAsia="仿宋_GB2312" w:cs="仿宋_GB2312"/>
          <w:i w:val="0"/>
          <w:iCs w:val="0"/>
          <w:caps w:val="0"/>
          <w:color w:val="auto"/>
          <w:spacing w:val="0"/>
          <w:kern w:val="2"/>
          <w:sz w:val="32"/>
          <w:szCs w:val="32"/>
          <w:highlight w:val="none"/>
          <w:shd w:val="clear" w:fill="FFFFFF"/>
          <w:lang w:val="en-US" w:eastAsia="zh-CN" w:bidi="ar"/>
        </w:rPr>
        <w:t>对符合条件的</w:t>
      </w:r>
      <w:r>
        <w:rPr>
          <w:rFonts w:hint="eastAsia" w:ascii="仿宋_GB2312" w:hAnsi="仿宋_GB2312" w:cs="仿宋_GB2312"/>
          <w:i w:val="0"/>
          <w:iCs w:val="0"/>
          <w:caps w:val="0"/>
          <w:color w:val="auto"/>
          <w:spacing w:val="0"/>
          <w:kern w:val="2"/>
          <w:sz w:val="32"/>
          <w:szCs w:val="32"/>
          <w:highlight w:val="none"/>
          <w:shd w:val="clear" w:fill="FFFFFF"/>
          <w:lang w:val="en-US" w:eastAsia="zh-CN" w:bidi="ar"/>
        </w:rPr>
        <w:t>金融企业</w:t>
      </w:r>
      <w:r>
        <w:rPr>
          <w:rFonts w:hint="eastAsia" w:ascii="仿宋_GB2312" w:hAnsi="仿宋_GB2312" w:eastAsia="仿宋_GB2312" w:cs="仿宋_GB2312"/>
          <w:i w:val="0"/>
          <w:iCs w:val="0"/>
          <w:caps w:val="0"/>
          <w:color w:val="auto"/>
          <w:spacing w:val="0"/>
          <w:kern w:val="2"/>
          <w:sz w:val="32"/>
          <w:szCs w:val="32"/>
          <w:highlight w:val="none"/>
          <w:shd w:val="clear" w:fill="FFFFFF"/>
          <w:lang w:val="en-US" w:eastAsia="zh-CN" w:bidi="ar"/>
        </w:rPr>
        <w:t>（含深圳市级分支机构）、征信、资信评估、评级等金融服务机构（企业），按照其上年度综合贡献给予最高300万元支持，用于对公司发展作出贡献的高管及骨干团队奖励。</w:t>
      </w:r>
    </w:p>
    <w:bookmarkEnd w:id="1995"/>
    <w:bookmarkEnd w:id="1996"/>
    <w:bookmarkEnd w:id="1997"/>
    <w:bookmarkEnd w:id="1998"/>
    <w:bookmarkEnd w:id="1999"/>
    <w:bookmarkEnd w:id="2000"/>
    <w:bookmarkEnd w:id="2001"/>
    <w:p>
      <w:pPr>
        <w:pStyle w:val="3"/>
        <w:keepNext w:val="0"/>
        <w:keepLines w:val="0"/>
        <w:pageBreakBefore w:val="0"/>
        <w:widowControl w:val="0"/>
        <w:kinsoku/>
        <w:wordWrap/>
        <w:topLinePunct w:val="0"/>
        <w:autoSpaceDE/>
        <w:autoSpaceDN/>
        <w:bidi w:val="0"/>
        <w:spacing w:before="0" w:beforeLines="0" w:beforeAutospacing="0" w:after="0" w:afterLines="0" w:afterAutospacing="0" w:line="560" w:lineRule="exact"/>
        <w:ind w:left="0" w:leftChars="0" w:firstLine="643"/>
        <w:jc w:val="both"/>
        <w:textAlignment w:val="auto"/>
        <w:rPr>
          <w:rFonts w:hint="eastAsia" w:ascii="楷体_GB2312" w:hAnsi="楷体_GB2312" w:eastAsia="楷体_GB2312" w:cs="楷体_GB2312"/>
          <w:b/>
          <w:bCs w:val="0"/>
          <w:color w:val="auto"/>
          <w:kern w:val="2"/>
          <w:sz w:val="32"/>
          <w:szCs w:val="24"/>
          <w:highlight w:val="none"/>
          <w:lang w:val="en-US" w:eastAsia="zh-CN" w:bidi="ar-SA"/>
        </w:rPr>
      </w:pPr>
      <w:bookmarkStart w:id="2002" w:name="_Toc30248"/>
      <w:bookmarkStart w:id="2003" w:name="_Toc27711"/>
      <w:bookmarkStart w:id="2004" w:name="_Toc11049"/>
      <w:bookmarkStart w:id="2005" w:name="_Toc396113709"/>
      <w:bookmarkStart w:id="2006" w:name="_Toc8383"/>
      <w:bookmarkStart w:id="2007" w:name="_Toc24244"/>
      <w:bookmarkStart w:id="2008" w:name="_Toc18760"/>
      <w:r>
        <w:rPr>
          <w:rFonts w:hint="eastAsia" w:ascii="楷体_GB2312" w:hAnsi="楷体_GB2312" w:eastAsia="楷体_GB2312" w:cs="楷体_GB2312"/>
          <w:b/>
          <w:bCs w:val="0"/>
          <w:color w:val="auto"/>
          <w:kern w:val="2"/>
          <w:sz w:val="32"/>
          <w:szCs w:val="24"/>
          <w:highlight w:val="none"/>
          <w:lang w:val="en-US" w:eastAsia="zh-CN" w:bidi="ar-SA"/>
        </w:rPr>
        <w:t xml:space="preserve">第七条  </w:t>
      </w:r>
      <w:bookmarkEnd w:id="2002"/>
      <w:bookmarkEnd w:id="2003"/>
      <w:r>
        <w:rPr>
          <w:rFonts w:hint="eastAsia" w:ascii="楷体_GB2312" w:hAnsi="楷体_GB2312" w:eastAsia="楷体_GB2312" w:cs="楷体_GB2312"/>
          <w:b/>
          <w:bCs w:val="0"/>
          <w:color w:val="auto"/>
          <w:kern w:val="2"/>
          <w:sz w:val="32"/>
          <w:szCs w:val="24"/>
          <w:highlight w:val="none"/>
          <w:lang w:val="en-US" w:eastAsia="zh-CN" w:bidi="ar-SA"/>
        </w:rPr>
        <w:t>股权投资机构综合贡献支持</w:t>
      </w:r>
      <w:bookmarkEnd w:id="2004"/>
      <w:bookmarkEnd w:id="2005"/>
      <w:bookmarkEnd w:id="2006"/>
      <w:bookmarkEnd w:id="2007"/>
      <w:bookmarkEnd w:id="2008"/>
    </w:p>
    <w:p>
      <w:pPr>
        <w:keepNext w:val="0"/>
        <w:keepLines w:val="0"/>
        <w:pageBreakBefore w:val="0"/>
        <w:widowControl w:val="0"/>
        <w:kinsoku/>
        <w:wordWrap/>
        <w:topLinePunct w:val="0"/>
        <w:autoSpaceDE/>
        <w:autoSpaceDN/>
        <w:bidi w:val="0"/>
        <w:spacing w:beforeAutospacing="0" w:afterAutospacing="0" w:line="560" w:lineRule="exact"/>
        <w:ind w:left="0" w:leftChars="0"/>
        <w:jc w:val="both"/>
        <w:textAlignment w:val="auto"/>
        <w:rPr>
          <w:highlight w:val="none"/>
        </w:rPr>
      </w:pPr>
      <w:r>
        <w:rPr>
          <w:rFonts w:hint="eastAsia"/>
          <w:color w:val="auto"/>
          <w:highlight w:val="none"/>
        </w:rPr>
        <w:t>对在南山区注册设立且上年度企业综合贡献超过1000万元的</w:t>
      </w:r>
      <w:r>
        <w:rPr>
          <w:rFonts w:hint="eastAsia"/>
          <w:color w:val="auto"/>
          <w:highlight w:val="none"/>
          <w:lang w:val="en-US" w:eastAsia="zh-CN"/>
        </w:rPr>
        <w:t>股权投资机构</w:t>
      </w:r>
      <w:r>
        <w:rPr>
          <w:rFonts w:hint="eastAsia"/>
          <w:color w:val="auto"/>
          <w:highlight w:val="none"/>
        </w:rPr>
        <w:t>，</w:t>
      </w:r>
      <w:r>
        <w:rPr>
          <w:rFonts w:hint="eastAsia"/>
          <w:color w:val="auto"/>
          <w:highlight w:val="none"/>
          <w:lang w:eastAsia="zh-CN"/>
        </w:rPr>
        <w:t>最高</w:t>
      </w:r>
      <w:r>
        <w:rPr>
          <w:rFonts w:hint="eastAsia"/>
          <w:color w:val="auto"/>
          <w:highlight w:val="none"/>
        </w:rPr>
        <w:t>按其上一年度</w:t>
      </w:r>
      <w:r>
        <w:rPr>
          <w:rFonts w:hint="eastAsia"/>
          <w:color w:val="auto"/>
          <w:highlight w:val="none"/>
          <w:lang w:eastAsia="zh-CN"/>
        </w:rPr>
        <w:t>营业收入的</w:t>
      </w:r>
      <w:r>
        <w:rPr>
          <w:rFonts w:hint="eastAsia"/>
          <w:color w:val="auto"/>
          <w:highlight w:val="none"/>
          <w:lang w:val="en-US" w:eastAsia="zh-CN"/>
        </w:rPr>
        <w:t>4</w:t>
      </w:r>
      <w:r>
        <w:rPr>
          <w:rFonts w:hint="default" w:ascii="Arial" w:hAnsi="Arial" w:cs="Arial"/>
          <w:color w:val="auto"/>
          <w:highlight w:val="none"/>
          <w:lang w:val="en-US" w:eastAsia="zh-CN"/>
        </w:rPr>
        <w:t>‰</w:t>
      </w:r>
      <w:r>
        <w:rPr>
          <w:rFonts w:hint="eastAsia"/>
          <w:color w:val="auto"/>
          <w:highlight w:val="none"/>
        </w:rPr>
        <w:t>给予奖励；对入驻西丽湖国际科教城的，</w:t>
      </w:r>
      <w:r>
        <w:rPr>
          <w:rFonts w:hint="eastAsia"/>
          <w:color w:val="auto"/>
          <w:highlight w:val="none"/>
          <w:lang w:eastAsia="zh-CN"/>
        </w:rPr>
        <w:t>最高</w:t>
      </w:r>
      <w:r>
        <w:rPr>
          <w:rFonts w:hint="eastAsia"/>
          <w:color w:val="auto"/>
          <w:highlight w:val="none"/>
        </w:rPr>
        <w:t>按其上一年度</w:t>
      </w:r>
      <w:r>
        <w:rPr>
          <w:rFonts w:hint="eastAsia"/>
          <w:color w:val="auto"/>
          <w:highlight w:val="none"/>
          <w:lang w:eastAsia="zh-CN"/>
        </w:rPr>
        <w:t>营业收入的</w:t>
      </w:r>
      <w:r>
        <w:rPr>
          <w:rFonts w:hint="eastAsia"/>
          <w:color w:val="auto"/>
          <w:highlight w:val="none"/>
          <w:lang w:val="en-US" w:eastAsia="zh-CN"/>
        </w:rPr>
        <w:t>5</w:t>
      </w:r>
      <w:r>
        <w:rPr>
          <w:rFonts w:hint="default" w:ascii="Arial" w:hAnsi="Arial" w:cs="Arial"/>
          <w:color w:val="auto"/>
          <w:highlight w:val="none"/>
          <w:lang w:val="en-US" w:eastAsia="zh-CN"/>
        </w:rPr>
        <w:t>‰</w:t>
      </w:r>
      <w:r>
        <w:rPr>
          <w:rFonts w:hint="eastAsia"/>
          <w:color w:val="auto"/>
          <w:highlight w:val="none"/>
        </w:rPr>
        <w:t>给予奖励</w:t>
      </w:r>
      <w:r>
        <w:rPr>
          <w:rFonts w:hint="default"/>
          <w:color w:val="auto"/>
          <w:highlight w:val="none"/>
        </w:rPr>
        <w:t>。</w:t>
      </w:r>
    </w:p>
    <w:p>
      <w:pPr>
        <w:pStyle w:val="3"/>
        <w:keepNext w:val="0"/>
        <w:keepLines w:val="0"/>
        <w:pageBreakBefore w:val="0"/>
        <w:widowControl w:val="0"/>
        <w:kinsoku/>
        <w:wordWrap/>
        <w:topLinePunct w:val="0"/>
        <w:autoSpaceDE/>
        <w:autoSpaceDN/>
        <w:bidi w:val="0"/>
        <w:spacing w:before="0" w:beforeLines="0" w:beforeAutospacing="0" w:after="0" w:afterLines="0" w:afterAutospacing="0" w:line="560" w:lineRule="exact"/>
        <w:ind w:left="0" w:leftChars="0" w:firstLine="643"/>
        <w:jc w:val="both"/>
        <w:textAlignment w:val="auto"/>
        <w:rPr>
          <w:rFonts w:hint="eastAsia" w:ascii="楷体_GB2312" w:hAnsi="楷体_GB2312" w:eastAsia="楷体_GB2312" w:cs="楷体_GB2312"/>
          <w:b/>
          <w:color w:val="auto"/>
          <w:kern w:val="2"/>
          <w:sz w:val="32"/>
          <w:szCs w:val="24"/>
          <w:highlight w:val="none"/>
          <w:lang w:val="en-US" w:eastAsia="zh-CN" w:bidi="ar-SA"/>
        </w:rPr>
      </w:pPr>
      <w:bookmarkStart w:id="2009" w:name="_Toc2087"/>
      <w:bookmarkStart w:id="2010" w:name="_Toc15326"/>
      <w:bookmarkStart w:id="2011" w:name="_Toc1047293513"/>
      <w:bookmarkStart w:id="2012" w:name="_Toc12222"/>
      <w:bookmarkStart w:id="2013" w:name="_Toc1326"/>
      <w:bookmarkStart w:id="2014" w:name="_Toc12782"/>
      <w:bookmarkStart w:id="2015" w:name="_Toc24350"/>
      <w:bookmarkStart w:id="2016" w:name="_Toc30802"/>
      <w:bookmarkStart w:id="2017" w:name="_Toc13112"/>
      <w:bookmarkStart w:id="2018" w:name="_Toc22778"/>
      <w:bookmarkStart w:id="2019" w:name="_Toc17068"/>
      <w:bookmarkStart w:id="2020" w:name="_Toc6007"/>
      <w:r>
        <w:rPr>
          <w:rFonts w:hint="eastAsia" w:ascii="楷体_GB2312" w:hAnsi="楷体_GB2312" w:eastAsia="楷体_GB2312" w:cs="楷体_GB2312"/>
          <w:b/>
          <w:color w:val="auto"/>
          <w:kern w:val="2"/>
          <w:sz w:val="32"/>
          <w:szCs w:val="24"/>
          <w:highlight w:val="none"/>
          <w:lang w:val="en-US" w:eastAsia="zh-CN" w:bidi="ar-SA"/>
        </w:rPr>
        <w:t>第八条  股权投资支持</w:t>
      </w:r>
      <w:bookmarkEnd w:id="2009"/>
      <w:bookmarkEnd w:id="2010"/>
      <w:bookmarkEnd w:id="2011"/>
      <w:bookmarkEnd w:id="2012"/>
      <w:bookmarkEnd w:id="2013"/>
      <w:bookmarkEnd w:id="2014"/>
      <w:bookmarkEnd w:id="2015"/>
      <w:bookmarkEnd w:id="2016"/>
      <w:bookmarkEnd w:id="2017"/>
      <w:bookmarkEnd w:id="2018"/>
      <w:bookmarkEnd w:id="2019"/>
      <w:bookmarkEnd w:id="2020"/>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对新设立或新迁入的股权投资</w:t>
      </w:r>
      <w:r>
        <w:rPr>
          <w:rFonts w:hint="eastAsia" w:ascii="仿宋_GB2312" w:hAnsi="仿宋_GB2312" w:cs="仿宋_GB2312"/>
          <w:i w:val="0"/>
          <w:iCs w:val="0"/>
          <w:caps w:val="0"/>
          <w:color w:val="auto"/>
          <w:spacing w:val="0"/>
          <w:sz w:val="32"/>
          <w:szCs w:val="32"/>
          <w:highlight w:val="none"/>
          <w:shd w:val="clear" w:fill="FFFFFF"/>
          <w:lang w:eastAsia="zh-CN"/>
        </w:rPr>
        <w:t>机构</w:t>
      </w:r>
      <w:r>
        <w:rPr>
          <w:rFonts w:hint="eastAsia" w:ascii="仿宋_GB2312" w:hAnsi="仿宋_GB2312" w:eastAsia="仿宋_GB2312" w:cs="仿宋_GB2312"/>
          <w:i w:val="0"/>
          <w:iCs w:val="0"/>
          <w:caps w:val="0"/>
          <w:color w:val="auto"/>
          <w:spacing w:val="0"/>
          <w:sz w:val="32"/>
          <w:szCs w:val="32"/>
          <w:highlight w:val="none"/>
          <w:shd w:val="clear" w:fill="FFFFFF"/>
        </w:rPr>
        <w:t>，根据其上一年度实际投资南山区企业（上市企业再融资除外）的累计金额，每满5000万元给予其管理企业100万元奖励，每家企业每年最高奖励1000万元，奖励期限不超过3年。</w:t>
      </w:r>
    </w:p>
    <w:bookmarkEnd w:id="1971"/>
    <w:p>
      <w:pPr>
        <w:pStyle w:val="3"/>
        <w:keepNext w:val="0"/>
        <w:keepLines w:val="0"/>
        <w:pageBreakBefore w:val="0"/>
        <w:widowControl w:val="0"/>
        <w:kinsoku/>
        <w:wordWrap/>
        <w:topLinePunct w:val="0"/>
        <w:autoSpaceDE/>
        <w:autoSpaceDN/>
        <w:bidi w:val="0"/>
        <w:spacing w:before="0" w:beforeLines="0" w:beforeAutospacing="0" w:after="0" w:afterLines="0" w:afterAutospacing="0" w:line="560" w:lineRule="exact"/>
        <w:ind w:left="0" w:leftChars="0" w:firstLine="643"/>
        <w:jc w:val="both"/>
        <w:textAlignment w:val="auto"/>
        <w:rPr>
          <w:rFonts w:hint="eastAsia" w:ascii="楷体_GB2312" w:hAnsi="楷体_GB2312" w:eastAsia="楷体_GB2312" w:cs="楷体_GB2312"/>
          <w:color w:val="auto"/>
          <w:highlight w:val="none"/>
          <w:lang w:val="en-US" w:eastAsia="zh-CN"/>
        </w:rPr>
      </w:pPr>
      <w:bookmarkStart w:id="2021" w:name="_Toc23399"/>
      <w:bookmarkStart w:id="2022" w:name="_Toc2092372775"/>
      <w:bookmarkStart w:id="2023" w:name="_Toc21296"/>
      <w:bookmarkStart w:id="2024" w:name="_Toc20108"/>
      <w:bookmarkStart w:id="2025" w:name="_Toc32446"/>
      <w:bookmarkStart w:id="2026" w:name="_Toc14504"/>
      <w:bookmarkStart w:id="2027" w:name="_Toc5673"/>
      <w:bookmarkStart w:id="2028" w:name="_Toc10048"/>
      <w:bookmarkStart w:id="2029" w:name="_Toc7411"/>
      <w:bookmarkStart w:id="2030" w:name="_Toc32032"/>
      <w:bookmarkStart w:id="2031" w:name="_Toc11842"/>
      <w:bookmarkStart w:id="2032" w:name="_Toc12333"/>
      <w:bookmarkStart w:id="2033" w:name="_Toc7113"/>
      <w:bookmarkStart w:id="2034" w:name="_Toc1665381547"/>
      <w:bookmarkStart w:id="2035" w:name="_Toc1528988323"/>
      <w:bookmarkStart w:id="2036" w:name="_Toc28814"/>
      <w:bookmarkStart w:id="2037" w:name="_Toc255970292"/>
      <w:r>
        <w:rPr>
          <w:rFonts w:hint="eastAsia" w:ascii="楷体_GB2312" w:hAnsi="楷体_GB2312" w:eastAsia="楷体_GB2312" w:cs="楷体_GB2312"/>
          <w:color w:val="auto"/>
          <w:highlight w:val="none"/>
          <w:lang w:eastAsia="zh-CN"/>
        </w:rPr>
        <w:t>第</w:t>
      </w:r>
      <w:r>
        <w:rPr>
          <w:rFonts w:hint="eastAsia" w:ascii="楷体_GB2312" w:hAnsi="楷体_GB2312" w:eastAsia="楷体_GB2312" w:cs="楷体_GB2312"/>
          <w:color w:val="auto"/>
          <w:highlight w:val="none"/>
          <w:lang w:val="en-US" w:eastAsia="zh-CN"/>
        </w:rPr>
        <w:t>九</w:t>
      </w:r>
      <w:r>
        <w:rPr>
          <w:rFonts w:hint="eastAsia" w:ascii="楷体_GB2312" w:hAnsi="楷体_GB2312" w:eastAsia="楷体_GB2312" w:cs="楷体_GB2312"/>
          <w:color w:val="auto"/>
          <w:highlight w:val="none"/>
          <w:lang w:eastAsia="zh-CN"/>
        </w:rPr>
        <w:t xml:space="preserve">条 </w:t>
      </w:r>
      <w:r>
        <w:rPr>
          <w:rFonts w:hint="eastAsia" w:ascii="楷体_GB2312" w:hAnsi="楷体_GB2312" w:eastAsia="楷体_GB2312" w:cs="楷体_GB2312"/>
          <w:color w:val="auto"/>
          <w:highlight w:val="none"/>
          <w:lang w:val="en-US" w:eastAsia="zh-CN"/>
        </w:rPr>
        <w:t xml:space="preserve"> </w:t>
      </w:r>
      <w:r>
        <w:rPr>
          <w:rFonts w:hint="eastAsia" w:ascii="楷体_GB2312" w:hAnsi="楷体_GB2312" w:eastAsia="楷体_GB2312" w:cs="楷体_GB2312"/>
          <w:color w:val="auto"/>
          <w:highlight w:val="none"/>
          <w:lang w:eastAsia="zh-CN"/>
        </w:rPr>
        <w:t>外商投资支持</w:t>
      </w:r>
      <w:bookmarkEnd w:id="2021"/>
      <w:bookmarkEnd w:id="2022"/>
      <w:bookmarkEnd w:id="2023"/>
    </w:p>
    <w:p>
      <w:pPr>
        <w:keepNext w:val="0"/>
        <w:keepLines w:val="0"/>
        <w:pageBreakBefore w:val="0"/>
        <w:widowControl w:val="0"/>
        <w:numPr>
          <w:ilvl w:val="-1"/>
          <w:numId w:val="0"/>
        </w:numPr>
        <w:pBdr>
          <w:top w:val="none" w:color="auto" w:sz="0" w:space="0"/>
          <w:left w:val="none" w:color="auto" w:sz="0" w:space="0"/>
          <w:bottom w:val="none" w:color="auto" w:sz="0" w:space="0"/>
          <w:right w:val="none" w:color="auto" w:sz="0" w:space="0"/>
        </w:pBdr>
        <w:shd w:val="clear"/>
        <w:kinsoku/>
        <w:wordWrap/>
        <w:topLinePunct w:val="0"/>
        <w:autoSpaceDE/>
        <w:autoSpaceDN/>
        <w:bidi w:val="0"/>
        <w:spacing w:beforeAutospacing="0" w:afterAutospacing="0" w:line="560" w:lineRule="exact"/>
        <w:ind w:left="0" w:leftChars="0" w:firstLine="640" w:firstLineChars="200"/>
        <w:jc w:val="both"/>
        <w:textAlignment w:val="auto"/>
        <w:rPr>
          <w:rFonts w:hint="eastAsia" w:ascii="仿宋_GB2312" w:hAnsi="仿宋_GB2312" w:cs="仿宋_GB2312"/>
          <w:color w:val="auto"/>
          <w:szCs w:val="32"/>
          <w:highlight w:val="none"/>
          <w:shd w:val="clear" w:fill="FFFFFF"/>
          <w:lang w:val="en-US" w:eastAsia="zh-CN"/>
        </w:rPr>
      </w:pPr>
      <w:r>
        <w:rPr>
          <w:rFonts w:hint="eastAsia" w:ascii="仿宋_GB2312" w:hAnsi="仿宋_GB2312" w:cs="仿宋_GB2312"/>
          <w:i w:val="0"/>
          <w:iCs w:val="0"/>
          <w:caps w:val="0"/>
          <w:color w:val="auto"/>
          <w:spacing w:val="0"/>
          <w:kern w:val="2"/>
          <w:sz w:val="32"/>
          <w:szCs w:val="32"/>
          <w:highlight w:val="none"/>
          <w:shd w:val="clear" w:fill="FFFFFF"/>
          <w:lang w:val="en-US" w:eastAsia="zh-CN" w:bidi="ar"/>
        </w:rPr>
        <w:t>对新迁入或新获得试点资格的外商投资股权投资企业（QFLP）、在合格境内股权投资企业（QDIE）、外商独资私募证券投资机构（WFOE PFM），每家企业给予最高100万元的一次性奖励。</w:t>
      </w:r>
    </w:p>
    <w:p>
      <w:pPr>
        <w:pStyle w:val="3"/>
        <w:keepNext w:val="0"/>
        <w:keepLines w:val="0"/>
        <w:pageBreakBefore w:val="0"/>
        <w:widowControl w:val="0"/>
        <w:kinsoku/>
        <w:wordWrap/>
        <w:topLinePunct w:val="0"/>
        <w:autoSpaceDE/>
        <w:autoSpaceDN/>
        <w:bidi w:val="0"/>
        <w:spacing w:before="0" w:beforeLines="0" w:beforeAutospacing="0" w:after="0" w:afterLines="0" w:afterAutospacing="0" w:line="560" w:lineRule="exact"/>
        <w:ind w:left="0" w:leftChars="0" w:firstLine="643"/>
        <w:jc w:val="both"/>
        <w:textAlignment w:val="auto"/>
        <w:rPr>
          <w:rFonts w:hint="eastAsia" w:ascii="楷体_GB2312" w:hAnsi="楷体_GB2312" w:eastAsia="楷体_GB2312" w:cs="楷体_GB2312"/>
          <w:color w:val="auto"/>
          <w:highlight w:val="none"/>
          <w:lang w:val="en-US" w:eastAsia="zh-CN"/>
        </w:rPr>
      </w:pPr>
      <w:bookmarkStart w:id="2038" w:name="_Toc12485"/>
      <w:bookmarkStart w:id="2039" w:name="_Toc2794"/>
      <w:bookmarkStart w:id="2040" w:name="_Toc614216246"/>
      <w:r>
        <w:rPr>
          <w:rFonts w:hint="eastAsia" w:ascii="楷体_GB2312" w:hAnsi="楷体_GB2312" w:eastAsia="楷体_GB2312" w:cs="楷体_GB2312"/>
          <w:color w:val="auto"/>
          <w:highlight w:val="none"/>
          <w:lang w:eastAsia="zh-CN"/>
        </w:rPr>
        <w:t>第</w:t>
      </w:r>
      <w:r>
        <w:rPr>
          <w:rFonts w:hint="eastAsia" w:ascii="楷体_GB2312" w:hAnsi="楷体_GB2312" w:eastAsia="楷体_GB2312" w:cs="楷体_GB2312"/>
          <w:color w:val="auto"/>
          <w:highlight w:val="none"/>
          <w:lang w:val="en-US" w:eastAsia="zh-CN"/>
        </w:rPr>
        <w:t>十</w:t>
      </w:r>
      <w:r>
        <w:rPr>
          <w:rFonts w:hint="eastAsia" w:ascii="楷体_GB2312" w:hAnsi="楷体_GB2312" w:eastAsia="楷体_GB2312" w:cs="楷体_GB2312"/>
          <w:color w:val="auto"/>
          <w:highlight w:val="none"/>
          <w:lang w:eastAsia="zh-CN"/>
        </w:rPr>
        <w:t xml:space="preserve">条 </w:t>
      </w:r>
      <w:r>
        <w:rPr>
          <w:rFonts w:hint="eastAsia" w:ascii="楷体_GB2312" w:hAnsi="楷体_GB2312" w:eastAsia="楷体_GB2312" w:cs="楷体_GB2312"/>
          <w:color w:val="auto"/>
          <w:highlight w:val="none"/>
          <w:lang w:val="en-US" w:eastAsia="zh-CN"/>
        </w:rPr>
        <w:t xml:space="preserve"> </w:t>
      </w:r>
      <w:bookmarkEnd w:id="2038"/>
      <w:r>
        <w:rPr>
          <w:rFonts w:hint="eastAsia" w:ascii="楷体_GB2312" w:hAnsi="楷体_GB2312" w:eastAsia="楷体_GB2312" w:cs="楷体_GB2312"/>
          <w:color w:val="auto"/>
          <w:highlight w:val="none"/>
          <w:lang w:val="en-US" w:eastAsia="zh-CN"/>
        </w:rPr>
        <w:t>支持设立私募股权二级市场基金</w:t>
      </w:r>
      <w:bookmarkEnd w:id="2039"/>
      <w:bookmarkEnd w:id="2040"/>
    </w:p>
    <w:p>
      <w:pPr>
        <w:keepNext w:val="0"/>
        <w:keepLines w:val="0"/>
        <w:pageBreakBefore w:val="0"/>
        <w:widowControl w:val="0"/>
        <w:numPr>
          <w:ilvl w:val="-1"/>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kern w:val="2"/>
          <w:sz w:val="32"/>
          <w:szCs w:val="32"/>
          <w:highlight w:val="none"/>
          <w:shd w:val="clear" w:fill="FFFFFF"/>
          <w:lang w:val="en-US" w:eastAsia="zh-CN" w:bidi="ar"/>
        </w:rPr>
      </w:pPr>
      <w:r>
        <w:rPr>
          <w:rFonts w:hint="eastAsia" w:ascii="仿宋_GB2312" w:hAnsi="仿宋_GB2312" w:cs="仿宋_GB2312"/>
          <w:i w:val="0"/>
          <w:iCs w:val="0"/>
          <w:caps w:val="0"/>
          <w:color w:val="auto"/>
          <w:spacing w:val="0"/>
          <w:kern w:val="2"/>
          <w:sz w:val="32"/>
          <w:szCs w:val="32"/>
          <w:highlight w:val="none"/>
          <w:shd w:val="clear" w:fill="FFFFFF"/>
          <w:lang w:val="en-US" w:eastAsia="zh-CN" w:bidi="ar"/>
        </w:rPr>
        <w:t>对在南山区设立并在中国证券投资基金业协会登记备案的私募股权二级市场基金（S基金），根据其在南山区实际投资规模对基金管理人给予最高1000万元的一次性奖励。</w:t>
      </w:r>
    </w:p>
    <w:p>
      <w:pPr>
        <w:pStyle w:val="3"/>
        <w:keepNext w:val="0"/>
        <w:keepLines w:val="0"/>
        <w:pageBreakBefore w:val="0"/>
        <w:widowControl w:val="0"/>
        <w:kinsoku/>
        <w:wordWrap/>
        <w:topLinePunct w:val="0"/>
        <w:autoSpaceDE/>
        <w:autoSpaceDN/>
        <w:bidi w:val="0"/>
        <w:spacing w:before="0" w:beforeLines="0" w:beforeAutospacing="0" w:after="0" w:afterLines="0" w:afterAutospacing="0" w:line="560" w:lineRule="exact"/>
        <w:ind w:left="0" w:leftChars="0" w:firstLine="643"/>
        <w:jc w:val="both"/>
        <w:textAlignment w:val="auto"/>
        <w:rPr>
          <w:rFonts w:hint="eastAsia" w:ascii="楷体_GB2312" w:hAnsi="楷体_GB2312" w:eastAsia="楷体_GB2312" w:cs="楷体_GB2312"/>
          <w:color w:val="auto"/>
          <w:highlight w:val="none"/>
          <w:lang w:val="en-US" w:eastAsia="zh-CN"/>
        </w:rPr>
      </w:pPr>
      <w:bookmarkStart w:id="2041" w:name="_Toc28560"/>
      <w:bookmarkStart w:id="2042" w:name="_Toc23915"/>
      <w:bookmarkStart w:id="2043" w:name="_Toc37964297"/>
      <w:r>
        <w:rPr>
          <w:rFonts w:hint="eastAsia" w:ascii="楷体_GB2312" w:hAnsi="楷体_GB2312" w:eastAsia="楷体_GB2312" w:cs="楷体_GB2312"/>
          <w:color w:val="auto"/>
          <w:highlight w:val="none"/>
          <w:lang w:eastAsia="zh-CN"/>
        </w:rPr>
        <w:t>第</w:t>
      </w:r>
      <w:r>
        <w:rPr>
          <w:rFonts w:hint="eastAsia" w:ascii="楷体_GB2312" w:hAnsi="楷体_GB2312" w:eastAsia="楷体_GB2312" w:cs="楷体_GB2312"/>
          <w:color w:val="auto"/>
          <w:highlight w:val="none"/>
          <w:lang w:val="en-US" w:eastAsia="zh-CN"/>
        </w:rPr>
        <w:t>十一</w:t>
      </w:r>
      <w:r>
        <w:rPr>
          <w:rFonts w:hint="eastAsia" w:ascii="楷体_GB2312" w:hAnsi="楷体_GB2312" w:eastAsia="楷体_GB2312" w:cs="楷体_GB2312"/>
          <w:color w:val="auto"/>
          <w:highlight w:val="none"/>
          <w:lang w:eastAsia="zh-CN"/>
        </w:rPr>
        <w:t xml:space="preserve">条 </w:t>
      </w:r>
      <w:r>
        <w:rPr>
          <w:rFonts w:hint="eastAsia" w:ascii="楷体_GB2312" w:hAnsi="楷体_GB2312" w:eastAsia="楷体_GB2312" w:cs="楷体_GB2312"/>
          <w:color w:val="auto"/>
          <w:highlight w:val="none"/>
          <w:lang w:val="en-US" w:eastAsia="zh-CN"/>
        </w:rPr>
        <w:t xml:space="preserve"> </w:t>
      </w:r>
      <w:r>
        <w:rPr>
          <w:rFonts w:hint="eastAsia" w:ascii="楷体_GB2312" w:hAnsi="楷体_GB2312" w:eastAsia="楷体_GB2312" w:cs="楷体_GB2312"/>
          <w:color w:val="auto"/>
          <w:highlight w:val="none"/>
          <w:lang w:eastAsia="zh-CN"/>
        </w:rPr>
        <w:t>支持金融科技底层关键技术创新</w:t>
      </w:r>
      <w:bookmarkEnd w:id="2024"/>
      <w:bookmarkEnd w:id="2025"/>
      <w:bookmarkEnd w:id="2026"/>
      <w:bookmarkEnd w:id="2027"/>
      <w:bookmarkEnd w:id="2028"/>
      <w:bookmarkEnd w:id="2029"/>
      <w:bookmarkEnd w:id="2030"/>
      <w:bookmarkEnd w:id="2031"/>
      <w:bookmarkEnd w:id="2032"/>
      <w:bookmarkEnd w:id="2041"/>
      <w:bookmarkEnd w:id="2042"/>
      <w:bookmarkEnd w:id="2043"/>
    </w:p>
    <w:p>
      <w:pPr>
        <w:keepNext w:val="0"/>
        <w:keepLines w:val="0"/>
        <w:pageBreakBefore w:val="0"/>
        <w:widowControl w:val="0"/>
        <w:numPr>
          <w:ilvl w:val="-1"/>
          <w:numId w:val="0"/>
        </w:numPr>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kern w:val="2"/>
          <w:sz w:val="32"/>
          <w:szCs w:val="32"/>
          <w:highlight w:val="none"/>
          <w:shd w:val="clear"/>
          <w:lang w:val="en-US" w:eastAsia="zh-CN" w:bidi="ar"/>
        </w:rPr>
      </w:pPr>
      <w:r>
        <w:rPr>
          <w:rFonts w:hint="eastAsia" w:ascii="仿宋_GB2312" w:hAnsi="仿宋_GB2312" w:eastAsia="仿宋_GB2312" w:cs="仿宋_GB2312"/>
          <w:i w:val="0"/>
          <w:iCs w:val="0"/>
          <w:caps w:val="0"/>
          <w:color w:val="auto"/>
          <w:spacing w:val="0"/>
          <w:kern w:val="2"/>
          <w:sz w:val="32"/>
          <w:szCs w:val="32"/>
          <w:highlight w:val="none"/>
          <w:shd w:val="clear"/>
          <w:lang w:val="en-US" w:eastAsia="zh-CN" w:bidi="ar"/>
        </w:rPr>
        <w:t>围绕金融</w:t>
      </w:r>
      <w:r>
        <w:rPr>
          <w:rFonts w:hint="eastAsia" w:ascii="仿宋_GB2312" w:hAnsi="仿宋_GB2312" w:cs="仿宋_GB2312"/>
          <w:i w:val="0"/>
          <w:iCs w:val="0"/>
          <w:caps w:val="0"/>
          <w:color w:val="auto"/>
          <w:spacing w:val="0"/>
          <w:kern w:val="2"/>
          <w:sz w:val="32"/>
          <w:szCs w:val="32"/>
          <w:highlight w:val="none"/>
          <w:shd w:val="clear"/>
          <w:lang w:val="en-US" w:eastAsia="zh-CN" w:bidi="ar"/>
        </w:rPr>
        <w:t>企业</w:t>
      </w:r>
      <w:r>
        <w:rPr>
          <w:rFonts w:hint="eastAsia" w:ascii="仿宋_GB2312" w:hAnsi="仿宋_GB2312" w:eastAsia="仿宋_GB2312" w:cs="仿宋_GB2312"/>
          <w:i w:val="0"/>
          <w:iCs w:val="0"/>
          <w:caps w:val="0"/>
          <w:color w:val="auto"/>
          <w:spacing w:val="0"/>
          <w:kern w:val="2"/>
          <w:sz w:val="32"/>
          <w:szCs w:val="32"/>
          <w:highlight w:val="none"/>
          <w:shd w:val="clear"/>
          <w:lang w:val="en-US" w:eastAsia="zh-CN" w:bidi="ar"/>
        </w:rPr>
        <w:t>发展金融科技的规划和需求，支持金融科技企业联合金融</w:t>
      </w:r>
      <w:r>
        <w:rPr>
          <w:rFonts w:hint="eastAsia" w:ascii="仿宋_GB2312" w:hAnsi="仿宋_GB2312" w:cs="仿宋_GB2312"/>
          <w:i w:val="0"/>
          <w:iCs w:val="0"/>
          <w:caps w:val="0"/>
          <w:color w:val="auto"/>
          <w:spacing w:val="0"/>
          <w:kern w:val="2"/>
          <w:sz w:val="32"/>
          <w:szCs w:val="32"/>
          <w:highlight w:val="none"/>
          <w:shd w:val="clear"/>
          <w:lang w:val="en-US" w:eastAsia="zh-CN" w:bidi="ar"/>
        </w:rPr>
        <w:t>企业</w:t>
      </w:r>
      <w:r>
        <w:rPr>
          <w:rFonts w:hint="eastAsia" w:ascii="仿宋_GB2312" w:hAnsi="仿宋_GB2312" w:eastAsia="仿宋_GB2312" w:cs="仿宋_GB2312"/>
          <w:i w:val="0"/>
          <w:iCs w:val="0"/>
          <w:caps w:val="0"/>
          <w:color w:val="auto"/>
          <w:spacing w:val="0"/>
          <w:kern w:val="2"/>
          <w:sz w:val="32"/>
          <w:szCs w:val="32"/>
          <w:highlight w:val="none"/>
          <w:shd w:val="clear"/>
          <w:lang w:val="en-US" w:eastAsia="zh-CN" w:bidi="ar"/>
        </w:rPr>
        <w:t>开展人工智能、大数据、互联技术、分布式技术、安全技术等底层关键技术创新。按照不超过项目总投资或实际支出费用30%的标准给予支持，每个项目支持金额不超过200万元。</w:t>
      </w:r>
    </w:p>
    <w:p>
      <w:pPr>
        <w:pStyle w:val="3"/>
        <w:keepNext w:val="0"/>
        <w:keepLines w:val="0"/>
        <w:pageBreakBefore w:val="0"/>
        <w:widowControl w:val="0"/>
        <w:kinsoku/>
        <w:wordWrap/>
        <w:topLinePunct w:val="0"/>
        <w:autoSpaceDE/>
        <w:autoSpaceDN/>
        <w:bidi w:val="0"/>
        <w:spacing w:before="0" w:beforeLines="0" w:beforeAutospacing="0" w:after="0" w:afterLines="0" w:afterAutospacing="0" w:line="560" w:lineRule="exact"/>
        <w:ind w:left="0" w:leftChars="0" w:firstLine="643"/>
        <w:jc w:val="both"/>
        <w:textAlignment w:val="auto"/>
        <w:rPr>
          <w:rFonts w:hint="eastAsia" w:ascii="楷体_GB2312" w:hAnsi="楷体_GB2312" w:eastAsia="楷体_GB2312" w:cs="楷体_GB2312"/>
          <w:color w:val="auto"/>
          <w:highlight w:val="none"/>
          <w:lang w:eastAsia="zh-CN"/>
        </w:rPr>
      </w:pPr>
      <w:bookmarkStart w:id="2044" w:name="_Toc25531"/>
      <w:bookmarkStart w:id="2045" w:name="_Toc12227"/>
      <w:bookmarkStart w:id="2046" w:name="_Toc18656"/>
      <w:bookmarkStart w:id="2047" w:name="_Toc11889"/>
      <w:bookmarkStart w:id="2048" w:name="_Toc30090"/>
      <w:bookmarkStart w:id="2049" w:name="_Toc1851744475"/>
      <w:bookmarkStart w:id="2050" w:name="_Toc27074"/>
      <w:bookmarkStart w:id="2051" w:name="_Toc14909"/>
      <w:bookmarkStart w:id="2052" w:name="_Toc2759"/>
      <w:bookmarkStart w:id="2053" w:name="_Toc29174"/>
      <w:bookmarkStart w:id="2054" w:name="_Toc10658"/>
      <w:bookmarkStart w:id="2055" w:name="_Toc29371"/>
      <w:bookmarkStart w:id="2056" w:name="_Toc19549"/>
      <w:r>
        <w:rPr>
          <w:rFonts w:hint="eastAsia" w:ascii="楷体_GB2312" w:hAnsi="楷体_GB2312" w:eastAsia="楷体_GB2312" w:cs="楷体_GB2312"/>
          <w:color w:val="auto"/>
          <w:highlight w:val="none"/>
          <w:lang w:eastAsia="zh-CN"/>
        </w:rPr>
        <w:t>第</w:t>
      </w:r>
      <w:r>
        <w:rPr>
          <w:rFonts w:hint="eastAsia" w:ascii="楷体_GB2312" w:hAnsi="楷体_GB2312" w:eastAsia="楷体_GB2312" w:cs="楷体_GB2312"/>
          <w:color w:val="auto"/>
          <w:highlight w:val="none"/>
          <w:lang w:val="en-US" w:eastAsia="zh-CN"/>
        </w:rPr>
        <w:t>十二</w:t>
      </w:r>
      <w:r>
        <w:rPr>
          <w:rFonts w:hint="eastAsia" w:ascii="楷体_GB2312" w:hAnsi="楷体_GB2312" w:eastAsia="楷体_GB2312" w:cs="楷体_GB2312"/>
          <w:color w:val="auto"/>
          <w:highlight w:val="none"/>
          <w:lang w:eastAsia="zh-CN"/>
        </w:rPr>
        <w:t xml:space="preserve">条 </w:t>
      </w:r>
      <w:r>
        <w:rPr>
          <w:rFonts w:hint="eastAsia" w:ascii="楷体_GB2312" w:hAnsi="楷体_GB2312" w:eastAsia="楷体_GB2312" w:cs="楷体_GB2312"/>
          <w:color w:val="auto"/>
          <w:highlight w:val="none"/>
          <w:lang w:val="en-US" w:eastAsia="zh-CN"/>
        </w:rPr>
        <w:t xml:space="preserve"> </w:t>
      </w:r>
      <w:r>
        <w:rPr>
          <w:rFonts w:hint="eastAsia" w:ascii="楷体_GB2312" w:hAnsi="楷体_GB2312" w:eastAsia="楷体_GB2312" w:cs="楷体_GB2312"/>
          <w:color w:val="auto"/>
          <w:highlight w:val="none"/>
          <w:lang w:eastAsia="zh-CN"/>
        </w:rPr>
        <w:t>支持拓展金融科技应用场景</w:t>
      </w:r>
      <w:bookmarkEnd w:id="2044"/>
      <w:bookmarkEnd w:id="2045"/>
      <w:bookmarkEnd w:id="2046"/>
      <w:bookmarkEnd w:id="2047"/>
      <w:bookmarkEnd w:id="2048"/>
      <w:bookmarkEnd w:id="2049"/>
      <w:bookmarkEnd w:id="2050"/>
      <w:bookmarkEnd w:id="2051"/>
      <w:bookmarkEnd w:id="2052"/>
      <w:bookmarkEnd w:id="2053"/>
      <w:bookmarkEnd w:id="2054"/>
      <w:bookmarkEnd w:id="2055"/>
      <w:bookmarkEnd w:id="2056"/>
    </w:p>
    <w:p>
      <w:pPr>
        <w:keepNext w:val="0"/>
        <w:keepLines w:val="0"/>
        <w:pageBreakBefore w:val="0"/>
        <w:widowControl w:val="0"/>
        <w:kinsoku/>
        <w:wordWrap/>
        <w:overflowPunct w:val="0"/>
        <w:topLinePunct w:val="0"/>
        <w:autoSpaceDE/>
        <w:autoSpaceDN/>
        <w:bidi w:val="0"/>
        <w:adjustRightInd w:val="0"/>
        <w:snapToGrid w:val="0"/>
        <w:spacing w:beforeAutospacing="0" w:afterAutospacing="0" w:line="560" w:lineRule="exact"/>
        <w:ind w:left="0" w:leftChars="0" w:firstLine="640" w:firstLineChars="200"/>
        <w:jc w:val="both"/>
        <w:textAlignment w:val="auto"/>
        <w:rPr>
          <w:highlight w:val="none"/>
        </w:rPr>
      </w:pPr>
      <w:r>
        <w:rPr>
          <w:rFonts w:hint="eastAsia" w:ascii="仿宋_GB2312" w:hAnsi="仿宋_GB2312" w:eastAsia="仿宋_GB2312" w:cs="仿宋_GB2312"/>
          <w:color w:val="auto"/>
          <w:sz w:val="32"/>
          <w:szCs w:val="32"/>
          <w:highlight w:val="none"/>
        </w:rPr>
        <w:t>支持金融科技企业经国家或深圳市金融监管部门或金融</w:t>
      </w:r>
      <w:r>
        <w:rPr>
          <w:rFonts w:hint="eastAsia" w:ascii="仿宋_GB2312" w:hAnsi="仿宋_GB2312" w:cs="仿宋_GB2312"/>
          <w:color w:val="auto"/>
          <w:sz w:val="32"/>
          <w:szCs w:val="32"/>
          <w:highlight w:val="none"/>
          <w:lang w:eastAsia="zh-CN"/>
        </w:rPr>
        <w:t>企业</w:t>
      </w:r>
      <w:r>
        <w:rPr>
          <w:rFonts w:hint="eastAsia" w:ascii="仿宋_GB2312" w:hAnsi="仿宋_GB2312" w:eastAsia="仿宋_GB2312" w:cs="仿宋_GB2312"/>
          <w:color w:val="auto"/>
          <w:sz w:val="32"/>
          <w:szCs w:val="32"/>
          <w:highlight w:val="none"/>
        </w:rPr>
        <w:t>批准，围绕金融服务、安全监管、城市治理等应用场景开展重大应用示范，</w:t>
      </w:r>
      <w:r>
        <w:rPr>
          <w:rFonts w:hint="eastAsia" w:ascii="仿宋_GB2312" w:hAnsi="仿宋_GB2312" w:eastAsia="仿宋_GB2312" w:cs="仿宋_GB2312"/>
          <w:color w:val="auto"/>
          <w:sz w:val="32"/>
          <w:szCs w:val="32"/>
          <w:highlight w:val="none"/>
          <w:u w:val="none"/>
          <w:lang w:eastAsia="zh-CN"/>
        </w:rPr>
        <w:t>积极推荐纳入</w:t>
      </w:r>
      <w:r>
        <w:rPr>
          <w:rFonts w:hint="eastAsia" w:ascii="仿宋_GB2312" w:hAnsi="仿宋_GB2312" w:eastAsia="仿宋_GB2312" w:cs="仿宋_GB2312"/>
          <w:color w:val="auto"/>
          <w:sz w:val="32"/>
          <w:szCs w:val="32"/>
          <w:highlight w:val="none"/>
          <w:u w:val="none"/>
        </w:rPr>
        <w:t>深圳市金融科技创新监管试点</w:t>
      </w:r>
      <w:r>
        <w:rPr>
          <w:rFonts w:hint="eastAsia" w:ascii="仿宋_GB2312" w:hAnsi="仿宋_GB2312" w:eastAsia="仿宋_GB2312" w:cs="仿宋_GB2312"/>
          <w:color w:val="auto"/>
          <w:sz w:val="32"/>
          <w:szCs w:val="32"/>
          <w:highlight w:val="none"/>
        </w:rPr>
        <w:t>。对技术创新度高、行业带动性强、示范效果较好的项目，按照不超过项目总投资或应用示范合同金额30%的标准给予支持，</w:t>
      </w:r>
      <w:r>
        <w:rPr>
          <w:rFonts w:hint="eastAsia" w:ascii="仿宋_GB2312" w:hAnsi="仿宋_GB2312" w:eastAsia="仿宋_GB2312" w:cs="仿宋_GB2312"/>
          <w:color w:val="auto"/>
          <w:sz w:val="32"/>
          <w:szCs w:val="32"/>
          <w:highlight w:val="none"/>
          <w:u w:val="none"/>
        </w:rPr>
        <w:t>每个项目支持金额不超过200万元。</w:t>
      </w:r>
    </w:p>
    <w:p>
      <w:pPr>
        <w:pStyle w:val="3"/>
        <w:keepNext w:val="0"/>
        <w:keepLines w:val="0"/>
        <w:pageBreakBefore w:val="0"/>
        <w:widowControl w:val="0"/>
        <w:kinsoku/>
        <w:wordWrap/>
        <w:topLinePunct w:val="0"/>
        <w:autoSpaceDE/>
        <w:autoSpaceDN/>
        <w:bidi w:val="0"/>
        <w:spacing w:before="0" w:beforeLines="0" w:beforeAutospacing="0" w:after="0" w:afterLines="0" w:afterAutospacing="0" w:line="560" w:lineRule="exact"/>
        <w:ind w:left="0" w:leftChars="0" w:firstLine="643"/>
        <w:jc w:val="both"/>
        <w:textAlignment w:val="auto"/>
        <w:rPr>
          <w:rFonts w:hint="eastAsia" w:ascii="楷体_GB2312" w:hAnsi="楷体_GB2312" w:eastAsia="楷体_GB2312" w:cs="楷体_GB2312"/>
          <w:color w:val="auto"/>
          <w:highlight w:val="none"/>
          <w:lang w:val="en-US" w:eastAsia="zh-CN"/>
        </w:rPr>
      </w:pPr>
      <w:bookmarkStart w:id="2057" w:name="_Toc5510"/>
      <w:bookmarkStart w:id="2058" w:name="_Toc8454"/>
      <w:bookmarkStart w:id="2059" w:name="_Toc1353"/>
      <w:bookmarkStart w:id="2060" w:name="_Toc1962"/>
      <w:bookmarkStart w:id="2061" w:name="_Toc24242"/>
      <w:bookmarkStart w:id="2062" w:name="_Toc17768"/>
      <w:bookmarkStart w:id="2063" w:name="_Toc24913"/>
      <w:bookmarkStart w:id="2064" w:name="_Toc1604"/>
      <w:bookmarkStart w:id="2065" w:name="_Toc503"/>
      <w:bookmarkStart w:id="2066" w:name="_Toc16242"/>
      <w:bookmarkStart w:id="2067" w:name="_Toc17676"/>
      <w:bookmarkStart w:id="2068" w:name="_Toc25864"/>
      <w:bookmarkStart w:id="2069" w:name="_Toc3496"/>
      <w:bookmarkStart w:id="2070" w:name="_Toc2044528620"/>
      <w:r>
        <w:rPr>
          <w:rFonts w:hint="eastAsia" w:ascii="楷体_GB2312" w:hAnsi="楷体_GB2312" w:eastAsia="楷体_GB2312" w:cs="楷体_GB2312"/>
          <w:color w:val="auto"/>
          <w:highlight w:val="none"/>
          <w:lang w:eastAsia="zh-CN"/>
        </w:rPr>
        <w:t>第十</w:t>
      </w:r>
      <w:r>
        <w:rPr>
          <w:rFonts w:hint="eastAsia" w:ascii="楷体_GB2312" w:hAnsi="楷体_GB2312" w:eastAsia="楷体_GB2312" w:cs="楷体_GB2312"/>
          <w:color w:val="auto"/>
          <w:highlight w:val="none"/>
          <w:lang w:val="en-US" w:eastAsia="zh-CN"/>
        </w:rPr>
        <w:t>三</w:t>
      </w:r>
      <w:r>
        <w:rPr>
          <w:rFonts w:hint="eastAsia" w:ascii="楷体_GB2312" w:hAnsi="楷体_GB2312" w:eastAsia="楷体_GB2312" w:cs="楷体_GB2312"/>
          <w:color w:val="auto"/>
          <w:highlight w:val="none"/>
          <w:lang w:eastAsia="zh-CN"/>
        </w:rPr>
        <w:t xml:space="preserve">条 </w:t>
      </w:r>
      <w:bookmarkEnd w:id="2057"/>
      <w:bookmarkEnd w:id="2058"/>
      <w:r>
        <w:rPr>
          <w:rFonts w:hint="eastAsia" w:ascii="楷体_GB2312" w:hAnsi="楷体_GB2312" w:eastAsia="楷体_GB2312" w:cs="楷体_GB2312"/>
          <w:color w:val="auto"/>
          <w:highlight w:val="none"/>
          <w:lang w:val="en-US" w:eastAsia="zh-CN"/>
        </w:rPr>
        <w:t xml:space="preserve"> 金融从业人员职业素质提升补贴</w:t>
      </w:r>
      <w:bookmarkEnd w:id="2059"/>
      <w:bookmarkEnd w:id="2060"/>
      <w:bookmarkEnd w:id="2061"/>
      <w:bookmarkEnd w:id="2062"/>
      <w:bookmarkEnd w:id="2063"/>
      <w:bookmarkEnd w:id="2064"/>
      <w:bookmarkEnd w:id="2065"/>
      <w:bookmarkEnd w:id="2066"/>
      <w:bookmarkEnd w:id="2067"/>
      <w:bookmarkEnd w:id="2068"/>
      <w:bookmarkEnd w:id="2069"/>
      <w:bookmarkEnd w:id="2070"/>
    </w:p>
    <w:p>
      <w:pPr>
        <w:keepNext w:val="0"/>
        <w:keepLines w:val="0"/>
        <w:pageBreakBefore w:val="0"/>
        <w:widowControl w:val="0"/>
        <w:kinsoku/>
        <w:wordWrap/>
        <w:topLinePunct w:val="0"/>
        <w:autoSpaceDE/>
        <w:autoSpaceDN/>
        <w:bidi w:val="0"/>
        <w:spacing w:beforeAutospacing="0" w:afterAutospacing="0" w:line="560" w:lineRule="exact"/>
        <w:ind w:left="0" w:leftChars="0" w:firstLine="640"/>
        <w:jc w:val="both"/>
        <w:textAlignment w:val="auto"/>
        <w:outlineLvl w:val="9"/>
        <w:rPr>
          <w:highlight w:val="none"/>
        </w:rPr>
      </w:pPr>
      <w:r>
        <w:rPr>
          <w:rFonts w:hint="eastAsia" w:ascii="仿宋_GB2312" w:hAnsi="仿宋_GB2312" w:eastAsia="仿宋_GB2312" w:cs="仿宋_GB2312"/>
          <w:color w:val="auto"/>
          <w:sz w:val="32"/>
          <w:szCs w:val="32"/>
          <w:highlight w:val="none"/>
        </w:rPr>
        <w:t>鼓励南山区金融从业人员积极参加专业资格认证考试，取得相应执业证书的，给予一次性2万元奖励。</w:t>
      </w:r>
    </w:p>
    <w:bookmarkEnd w:id="2033"/>
    <w:bookmarkEnd w:id="2034"/>
    <w:bookmarkEnd w:id="2035"/>
    <w:bookmarkEnd w:id="2036"/>
    <w:bookmarkEnd w:id="2037"/>
    <w:p>
      <w:pPr>
        <w:pStyle w:val="3"/>
        <w:keepNext w:val="0"/>
        <w:keepLines w:val="0"/>
        <w:pageBreakBefore w:val="0"/>
        <w:widowControl w:val="0"/>
        <w:kinsoku/>
        <w:wordWrap/>
        <w:topLinePunct w:val="0"/>
        <w:autoSpaceDE/>
        <w:autoSpaceDN/>
        <w:bidi w:val="0"/>
        <w:spacing w:before="0" w:beforeLines="0" w:beforeAutospacing="0" w:after="0" w:afterLines="0" w:afterAutospacing="0" w:line="560" w:lineRule="exact"/>
        <w:ind w:left="0" w:leftChars="0" w:firstLine="643"/>
        <w:jc w:val="both"/>
        <w:textAlignment w:val="auto"/>
        <w:rPr>
          <w:rFonts w:hint="eastAsia" w:ascii="楷体_GB2312" w:hAnsi="楷体_GB2312" w:eastAsia="楷体_GB2312" w:cs="楷体_GB2312"/>
          <w:color w:val="auto"/>
          <w:highlight w:val="none"/>
          <w:lang w:eastAsia="zh-CN"/>
        </w:rPr>
      </w:pPr>
      <w:bookmarkStart w:id="2071" w:name="_Toc12789"/>
      <w:bookmarkStart w:id="2072" w:name="_Toc29119"/>
      <w:bookmarkStart w:id="2073" w:name="_Toc19906"/>
      <w:bookmarkStart w:id="2074" w:name="_Toc1623132960"/>
      <w:bookmarkStart w:id="2075" w:name="_Toc14919"/>
      <w:bookmarkStart w:id="2076" w:name="_Toc2358"/>
      <w:bookmarkStart w:id="2077" w:name="_Toc24331"/>
      <w:bookmarkStart w:id="2078" w:name="_Toc10560"/>
      <w:bookmarkStart w:id="2079" w:name="_Toc1938"/>
      <w:bookmarkStart w:id="2080" w:name="_Toc14325"/>
      <w:bookmarkStart w:id="2081" w:name="_Toc24078"/>
      <w:bookmarkStart w:id="2082" w:name="_Toc13080"/>
      <w:bookmarkStart w:id="2083" w:name="_Toc7595"/>
      <w:r>
        <w:rPr>
          <w:rFonts w:hint="eastAsia" w:ascii="楷体_GB2312" w:hAnsi="楷体_GB2312" w:eastAsia="楷体_GB2312" w:cs="楷体_GB2312"/>
          <w:color w:val="auto"/>
          <w:highlight w:val="none"/>
          <w:lang w:val="en-US" w:eastAsia="zh-CN"/>
        </w:rPr>
        <w:t>第</w:t>
      </w:r>
      <w:r>
        <w:rPr>
          <w:rFonts w:hint="eastAsia" w:ascii="楷体_GB2312" w:hAnsi="楷体_GB2312" w:eastAsia="楷体_GB2312" w:cs="楷体_GB2312"/>
          <w:color w:val="auto"/>
          <w:highlight w:val="none"/>
          <w:lang w:eastAsia="zh-CN"/>
        </w:rPr>
        <w:t>十</w:t>
      </w:r>
      <w:r>
        <w:rPr>
          <w:rFonts w:hint="eastAsia" w:ascii="楷体_GB2312" w:hAnsi="楷体_GB2312" w:eastAsia="楷体_GB2312" w:cs="楷体_GB2312"/>
          <w:color w:val="auto"/>
          <w:highlight w:val="none"/>
          <w:lang w:val="en-US" w:eastAsia="zh-CN"/>
        </w:rPr>
        <w:t xml:space="preserve">四条 </w:t>
      </w:r>
      <w:r>
        <w:rPr>
          <w:rFonts w:hint="eastAsia" w:ascii="楷体_GB2312" w:hAnsi="楷体_GB2312" w:eastAsia="楷体_GB2312" w:cs="楷体_GB2312"/>
          <w:color w:val="auto"/>
          <w:highlight w:val="none"/>
          <w:lang w:eastAsia="zh-CN"/>
        </w:rPr>
        <w:t xml:space="preserve"> </w:t>
      </w:r>
      <w:r>
        <w:rPr>
          <w:rFonts w:hint="eastAsia" w:ascii="楷体_GB2312" w:hAnsi="楷体_GB2312" w:eastAsia="楷体_GB2312" w:cs="楷体_GB2312"/>
          <w:color w:val="auto"/>
          <w:highlight w:val="none"/>
          <w:lang w:val="en-US" w:eastAsia="zh-CN"/>
        </w:rPr>
        <w:t>金融行业活动奖励</w:t>
      </w:r>
      <w:bookmarkEnd w:id="2071"/>
      <w:bookmarkEnd w:id="2072"/>
      <w:bookmarkEnd w:id="2073"/>
      <w:bookmarkEnd w:id="2074"/>
      <w:bookmarkEnd w:id="2075"/>
      <w:bookmarkEnd w:id="2076"/>
      <w:bookmarkEnd w:id="2077"/>
      <w:bookmarkEnd w:id="2078"/>
      <w:bookmarkEnd w:id="2079"/>
      <w:bookmarkEnd w:id="2080"/>
      <w:bookmarkEnd w:id="2081"/>
      <w:bookmarkEnd w:id="2082"/>
      <w:bookmarkEnd w:id="2083"/>
    </w:p>
    <w:p>
      <w:pPr>
        <w:keepNext w:val="0"/>
        <w:keepLines w:val="0"/>
        <w:pageBreakBefore w:val="0"/>
        <w:widowControl w:val="0"/>
        <w:kinsoku/>
        <w:wordWrap/>
        <w:topLinePunct w:val="0"/>
        <w:autoSpaceDE/>
        <w:autoSpaceDN/>
        <w:bidi w:val="0"/>
        <w:spacing w:beforeAutospacing="0" w:afterAutospacing="0" w:line="560" w:lineRule="exact"/>
        <w:ind w:left="0" w:leftChars="0" w:firstLine="640" w:firstLineChars="0"/>
        <w:jc w:val="both"/>
        <w:textAlignment w:val="auto"/>
        <w:rPr>
          <w:highlight w:val="none"/>
        </w:rPr>
      </w:pPr>
      <w:r>
        <w:rPr>
          <w:rFonts w:hint="eastAsia" w:ascii="仿宋_GB2312" w:hAnsi="仿宋_GB2312" w:eastAsia="仿宋_GB2312" w:cs="仿宋_GB2312"/>
          <w:color w:val="auto"/>
          <w:sz w:val="32"/>
          <w:szCs w:val="32"/>
          <w:highlight w:val="none"/>
          <w:lang w:val="en-US" w:eastAsia="zh-CN"/>
        </w:rPr>
        <w:t>对持牌金融机构、重点股权投资</w:t>
      </w:r>
      <w:r>
        <w:rPr>
          <w:rFonts w:hint="eastAsia" w:ascii="仿宋_GB2312" w:hAnsi="仿宋_GB2312" w:cs="仿宋_GB2312"/>
          <w:color w:val="auto"/>
          <w:sz w:val="32"/>
          <w:szCs w:val="32"/>
          <w:highlight w:val="none"/>
          <w:lang w:val="en-US" w:eastAsia="zh-CN"/>
        </w:rPr>
        <w:t>机构</w:t>
      </w:r>
      <w:r>
        <w:rPr>
          <w:rFonts w:hint="eastAsia" w:ascii="仿宋_GB2312" w:hAnsi="仿宋_GB2312" w:eastAsia="仿宋_GB2312" w:cs="仿宋_GB2312"/>
          <w:color w:val="auto"/>
          <w:sz w:val="32"/>
          <w:szCs w:val="32"/>
          <w:highlight w:val="none"/>
          <w:lang w:val="en-US" w:eastAsia="zh-CN"/>
        </w:rPr>
        <w:t>、知名股权投资服务机构</w:t>
      </w:r>
      <w:r>
        <w:rPr>
          <w:rFonts w:hint="eastAsia" w:ascii="仿宋_GB2312" w:hAnsi="仿宋_GB2312" w:eastAsia="仿宋_GB2312" w:cs="仿宋_GB2312"/>
          <w:color w:val="auto"/>
          <w:sz w:val="32"/>
          <w:szCs w:val="32"/>
          <w:highlight w:val="none"/>
          <w:lang w:eastAsia="zh-CN"/>
        </w:rPr>
        <w:t>、行业协会、</w:t>
      </w:r>
      <w:r>
        <w:rPr>
          <w:rFonts w:hint="eastAsia" w:ascii="仿宋_GB2312" w:hAnsi="仿宋_GB2312" w:eastAsia="仿宋_GB2312" w:cs="仿宋_GB2312"/>
          <w:color w:val="auto"/>
          <w:sz w:val="32"/>
          <w:szCs w:val="32"/>
          <w:highlight w:val="none"/>
          <w:lang w:val="en-US" w:eastAsia="zh-CN"/>
        </w:rPr>
        <w:t>重点金融科技机构、</w:t>
      </w:r>
      <w:r>
        <w:rPr>
          <w:rFonts w:hint="eastAsia" w:ascii="仿宋_GB2312" w:hAnsi="仿宋_GB2312" w:eastAsia="仿宋_GB2312" w:cs="仿宋_GB2312"/>
          <w:color w:val="auto"/>
          <w:sz w:val="32"/>
          <w:szCs w:val="32"/>
          <w:highlight w:val="none"/>
          <w:lang w:val="en" w:eastAsia="zh-CN"/>
        </w:rPr>
        <w:t>高等院校</w:t>
      </w:r>
      <w:r>
        <w:rPr>
          <w:rFonts w:hint="eastAsia" w:ascii="仿宋_GB2312" w:hAnsi="仿宋_GB2312" w:eastAsia="仿宋_GB2312" w:cs="仿宋_GB2312"/>
          <w:color w:val="auto"/>
          <w:sz w:val="32"/>
          <w:szCs w:val="32"/>
          <w:highlight w:val="none"/>
          <w:lang w:val="en-US" w:eastAsia="zh-CN"/>
        </w:rPr>
        <w:t>等在南山区举办的，具有行业影响力的全国性峰会、论坛、创业大赛等金融类专题活动，经认定后给予一次性</w:t>
      </w:r>
      <w:r>
        <w:rPr>
          <w:rFonts w:hint="eastAsia" w:ascii="仿宋_GB2312" w:hAnsi="仿宋_GB2312" w:cs="仿宋_GB2312"/>
          <w:color w:val="auto"/>
          <w:sz w:val="32"/>
          <w:szCs w:val="32"/>
          <w:highlight w:val="none"/>
          <w:lang w:val="en-US" w:eastAsia="zh-CN"/>
        </w:rPr>
        <w:t>最高</w:t>
      </w:r>
      <w:r>
        <w:rPr>
          <w:rFonts w:hint="eastAsia" w:ascii="仿宋_GB2312" w:hAnsi="仿宋_GB2312" w:eastAsia="仿宋_GB2312" w:cs="仿宋_GB2312"/>
          <w:color w:val="auto"/>
          <w:sz w:val="32"/>
          <w:szCs w:val="32"/>
          <w:highlight w:val="none"/>
          <w:lang w:val="en-US" w:eastAsia="zh-CN"/>
        </w:rPr>
        <w:t>100万元奖励。</w:t>
      </w:r>
    </w:p>
    <w:bookmarkEnd w:id="1972"/>
    <w:bookmarkEnd w:id="1973"/>
    <w:bookmarkEnd w:id="1974"/>
    <w:bookmarkEnd w:id="1975"/>
    <w:bookmarkEnd w:id="1976"/>
    <w:p>
      <w:pPr>
        <w:pStyle w:val="3"/>
        <w:keepNext w:val="0"/>
        <w:keepLines w:val="0"/>
        <w:pageBreakBefore w:val="0"/>
        <w:widowControl w:val="0"/>
        <w:kinsoku/>
        <w:wordWrap/>
        <w:topLinePunct w:val="0"/>
        <w:autoSpaceDE/>
        <w:autoSpaceDN/>
        <w:bidi w:val="0"/>
        <w:spacing w:before="0" w:beforeLines="0" w:beforeAutospacing="0" w:after="0" w:afterLines="0" w:afterAutospacing="0" w:line="560" w:lineRule="exact"/>
        <w:ind w:left="0" w:leftChars="0" w:firstLine="643"/>
        <w:jc w:val="both"/>
        <w:textAlignment w:val="auto"/>
        <w:rPr>
          <w:rFonts w:hint="eastAsia" w:ascii="楷体_GB2312" w:hAnsi="楷体_GB2312" w:eastAsia="楷体_GB2312" w:cs="楷体_GB2312"/>
          <w:color w:val="auto"/>
          <w:highlight w:val="none"/>
          <w:lang w:val="en-US" w:eastAsia="zh-CN"/>
        </w:rPr>
      </w:pPr>
      <w:bookmarkStart w:id="2084" w:name="_Toc8445"/>
      <w:bookmarkStart w:id="2085" w:name="_Toc3647"/>
      <w:bookmarkStart w:id="2086" w:name="_Toc335038678"/>
      <w:bookmarkStart w:id="2087" w:name="_Toc12680"/>
      <w:r>
        <w:rPr>
          <w:rFonts w:hint="eastAsia" w:ascii="楷体_GB2312" w:hAnsi="楷体_GB2312" w:eastAsia="楷体_GB2312" w:cs="楷体_GB2312"/>
          <w:color w:val="auto"/>
          <w:highlight w:val="none"/>
          <w:lang w:eastAsia="zh-CN"/>
        </w:rPr>
        <w:t>第十</w:t>
      </w:r>
      <w:r>
        <w:rPr>
          <w:rFonts w:hint="eastAsia" w:ascii="楷体_GB2312" w:hAnsi="楷体_GB2312" w:eastAsia="楷体_GB2312" w:cs="楷体_GB2312"/>
          <w:color w:val="auto"/>
          <w:highlight w:val="none"/>
          <w:lang w:val="en-US" w:eastAsia="zh-CN"/>
        </w:rPr>
        <w:t>五</w:t>
      </w:r>
      <w:r>
        <w:rPr>
          <w:rFonts w:hint="eastAsia" w:ascii="楷体_GB2312" w:hAnsi="楷体_GB2312" w:eastAsia="楷体_GB2312" w:cs="楷体_GB2312"/>
          <w:color w:val="auto"/>
          <w:highlight w:val="none"/>
          <w:lang w:eastAsia="zh-CN"/>
        </w:rPr>
        <w:t xml:space="preserve">条 </w:t>
      </w:r>
      <w:r>
        <w:rPr>
          <w:rFonts w:hint="eastAsia" w:ascii="楷体_GB2312" w:hAnsi="楷体_GB2312" w:eastAsia="楷体_GB2312" w:cs="楷体_GB2312"/>
          <w:color w:val="auto"/>
          <w:highlight w:val="none"/>
          <w:lang w:val="en-US" w:eastAsia="zh-CN"/>
        </w:rPr>
        <w:t xml:space="preserve"> </w:t>
      </w:r>
      <w:r>
        <w:rPr>
          <w:rFonts w:hint="eastAsia" w:ascii="楷体_GB2312" w:hAnsi="楷体_GB2312" w:eastAsia="楷体_GB2312" w:cs="楷体_GB2312"/>
          <w:color w:val="auto"/>
          <w:highlight w:val="none"/>
          <w:lang w:eastAsia="zh-CN"/>
        </w:rPr>
        <w:t>金融企业</w:t>
      </w:r>
      <w:r>
        <w:rPr>
          <w:rFonts w:hint="eastAsia" w:ascii="楷体_GB2312" w:hAnsi="楷体_GB2312" w:eastAsia="楷体_GB2312" w:cs="楷体_GB2312"/>
          <w:color w:val="auto"/>
          <w:highlight w:val="none"/>
          <w:lang w:val="en-US" w:eastAsia="zh-CN"/>
        </w:rPr>
        <w:t>办公用房租赁补贴</w:t>
      </w:r>
      <w:bookmarkEnd w:id="2084"/>
      <w:bookmarkEnd w:id="2085"/>
      <w:bookmarkEnd w:id="2086"/>
      <w:bookmarkEnd w:id="2087"/>
    </w:p>
    <w:p>
      <w:pPr>
        <w:keepNext w:val="0"/>
        <w:keepLines w:val="0"/>
        <w:pageBreakBefore w:val="0"/>
        <w:widowControl w:val="0"/>
        <w:numPr>
          <w:ilvl w:val="-1"/>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60" w:lineRule="exact"/>
        <w:ind w:left="0" w:leftChars="0" w:right="0" w:rightChars="0" w:firstLine="640" w:firstLineChars="0"/>
        <w:jc w:val="both"/>
        <w:textAlignment w:val="auto"/>
        <w:rPr>
          <w:rFonts w:hint="eastAsia" w:ascii="仿宋_GB2312" w:hAnsi="仿宋_GB2312" w:cs="仿宋_GB2312"/>
          <w:color w:val="auto"/>
          <w:szCs w:val="32"/>
          <w:highlight w:val="none"/>
        </w:rPr>
      </w:pPr>
      <w:r>
        <w:rPr>
          <w:rFonts w:hint="eastAsia" w:ascii="仿宋_GB2312" w:hAnsi="仿宋_GB2312" w:eastAsia="仿宋_GB2312" w:cs="仿宋_GB2312"/>
          <w:i w:val="0"/>
          <w:iCs w:val="0"/>
          <w:caps w:val="0"/>
          <w:color w:val="auto"/>
          <w:spacing w:val="0"/>
          <w:kern w:val="2"/>
          <w:sz w:val="32"/>
          <w:szCs w:val="32"/>
          <w:highlight w:val="none"/>
          <w:shd w:val="clear"/>
          <w:lang w:val="en-US" w:eastAsia="zh-CN" w:bidi="ar"/>
        </w:rPr>
        <w:t>对符合条件的金融企业及金融科技企业在南山区租赁自用办公用房（不含南山区政策性产业用房）的，按实际支付租金的30％分3年给予最高3000万元房租补贴，每年最高1000万元。对入驻经市、区政府认定的产业基地或金融重点楼宇的，分5年给予最高3500万元房租补贴，其中前3年每年按实际支付租金的30％给予补贴，每年最高1000万元；后2年每年按实际支付租金的15％给予补贴，每年最高250万元。</w:t>
      </w:r>
    </w:p>
    <w:p>
      <w:pPr>
        <w:pStyle w:val="3"/>
        <w:keepNext w:val="0"/>
        <w:keepLines w:val="0"/>
        <w:pageBreakBefore w:val="0"/>
        <w:widowControl w:val="0"/>
        <w:kinsoku/>
        <w:wordWrap/>
        <w:topLinePunct w:val="0"/>
        <w:autoSpaceDE/>
        <w:autoSpaceDN/>
        <w:bidi w:val="0"/>
        <w:spacing w:before="0" w:beforeLines="0" w:beforeAutospacing="0" w:after="0" w:afterLines="0" w:afterAutospacing="0" w:line="560" w:lineRule="exact"/>
        <w:ind w:left="0" w:leftChars="0" w:firstLine="643"/>
        <w:jc w:val="both"/>
        <w:textAlignment w:val="auto"/>
        <w:rPr>
          <w:rFonts w:hint="eastAsia" w:ascii="楷体_GB2312" w:hAnsi="楷体_GB2312" w:eastAsia="楷体_GB2312" w:cs="楷体_GB2312"/>
          <w:color w:val="auto"/>
          <w:highlight w:val="none"/>
          <w:lang w:val="en-US" w:eastAsia="zh-CN"/>
        </w:rPr>
      </w:pPr>
      <w:bookmarkStart w:id="2088" w:name="_Toc5839"/>
      <w:bookmarkStart w:id="2089" w:name="_Toc5973"/>
      <w:bookmarkStart w:id="2090" w:name="_Toc13427"/>
      <w:bookmarkStart w:id="2091" w:name="_Toc27867"/>
      <w:bookmarkStart w:id="2092" w:name="_Toc24826"/>
      <w:bookmarkStart w:id="2093" w:name="_Toc1437288311"/>
      <w:bookmarkStart w:id="2094" w:name="_Toc19129"/>
      <w:bookmarkStart w:id="2095" w:name="_Toc23891"/>
      <w:bookmarkStart w:id="2096" w:name="_Toc11172"/>
      <w:r>
        <w:rPr>
          <w:rFonts w:hint="eastAsia" w:ascii="楷体_GB2312" w:hAnsi="楷体_GB2312" w:eastAsia="楷体_GB2312" w:cs="楷体_GB2312"/>
          <w:color w:val="auto"/>
          <w:highlight w:val="none"/>
          <w:lang w:eastAsia="zh-CN"/>
        </w:rPr>
        <w:t>第十</w:t>
      </w:r>
      <w:r>
        <w:rPr>
          <w:rFonts w:hint="eastAsia" w:ascii="楷体_GB2312" w:hAnsi="楷体_GB2312" w:eastAsia="楷体_GB2312" w:cs="楷体_GB2312"/>
          <w:color w:val="auto"/>
          <w:highlight w:val="none"/>
          <w:lang w:val="en-US" w:eastAsia="zh-CN"/>
        </w:rPr>
        <w:t>六</w:t>
      </w:r>
      <w:r>
        <w:rPr>
          <w:rFonts w:hint="eastAsia" w:ascii="楷体_GB2312" w:hAnsi="楷体_GB2312" w:eastAsia="楷体_GB2312" w:cs="楷体_GB2312"/>
          <w:color w:val="auto"/>
          <w:highlight w:val="none"/>
          <w:lang w:eastAsia="zh-CN"/>
        </w:rPr>
        <w:t xml:space="preserve">条 </w:t>
      </w:r>
      <w:r>
        <w:rPr>
          <w:rFonts w:hint="eastAsia" w:ascii="楷体_GB2312" w:hAnsi="楷体_GB2312" w:eastAsia="楷体_GB2312" w:cs="楷体_GB2312"/>
          <w:color w:val="auto"/>
          <w:highlight w:val="none"/>
          <w:lang w:val="en-US" w:eastAsia="zh-CN"/>
        </w:rPr>
        <w:t xml:space="preserve"> </w:t>
      </w:r>
      <w:r>
        <w:rPr>
          <w:rFonts w:hint="eastAsia" w:ascii="楷体_GB2312" w:hAnsi="楷体_GB2312" w:eastAsia="楷体_GB2312" w:cs="楷体_GB2312"/>
          <w:color w:val="auto"/>
          <w:highlight w:val="none"/>
          <w:lang w:eastAsia="zh-CN"/>
        </w:rPr>
        <w:t>金融企业</w:t>
      </w:r>
      <w:r>
        <w:rPr>
          <w:rFonts w:hint="eastAsia" w:ascii="楷体_GB2312" w:hAnsi="楷体_GB2312" w:eastAsia="楷体_GB2312" w:cs="楷体_GB2312"/>
          <w:color w:val="auto"/>
          <w:highlight w:val="none"/>
          <w:lang w:val="en-US" w:eastAsia="zh-CN"/>
        </w:rPr>
        <w:t>办公用房购置补贴</w:t>
      </w:r>
      <w:bookmarkEnd w:id="2088"/>
      <w:bookmarkEnd w:id="2089"/>
      <w:bookmarkEnd w:id="2090"/>
      <w:bookmarkEnd w:id="2091"/>
      <w:bookmarkEnd w:id="2092"/>
      <w:bookmarkEnd w:id="2093"/>
      <w:bookmarkEnd w:id="2094"/>
      <w:bookmarkEnd w:id="2095"/>
      <w:bookmarkEnd w:id="2096"/>
    </w:p>
    <w:p>
      <w:pPr>
        <w:keepNext w:val="0"/>
        <w:keepLines w:val="0"/>
        <w:pageBreakBefore w:val="0"/>
        <w:widowControl w:val="0"/>
        <w:kinsoku/>
        <w:wordWrap/>
        <w:topLinePunct w:val="0"/>
        <w:autoSpaceDE/>
        <w:autoSpaceDN/>
        <w:bidi w:val="0"/>
        <w:spacing w:beforeAutospacing="0" w:afterAutospacing="0" w:line="560" w:lineRule="exact"/>
        <w:ind w:left="0" w:leftChars="0"/>
        <w:jc w:val="both"/>
        <w:textAlignment w:val="auto"/>
        <w:rPr>
          <w:rFonts w:hint="eastAsia"/>
          <w:highlight w:val="none"/>
          <w:lang w:val="en-US" w:eastAsia="zh-CN"/>
        </w:rPr>
      </w:pPr>
      <w:r>
        <w:rPr>
          <w:rFonts w:hint="eastAsia" w:ascii="仿宋_GB2312" w:hAnsi="仿宋_GB2312" w:eastAsia="仿宋_GB2312" w:cs="仿宋_GB2312"/>
          <w:i w:val="0"/>
          <w:iCs w:val="0"/>
          <w:caps w:val="0"/>
          <w:spacing w:val="0"/>
          <w:kern w:val="2"/>
          <w:sz w:val="32"/>
          <w:szCs w:val="40"/>
          <w:highlight w:val="none"/>
          <w:shd w:val="clear"/>
        </w:rPr>
        <w:t>对符合条件的金融企业及金融科技企业在南山区购置自用办公用房（不含南山区政策性产业用房）的，按最高3000元/平方米的标准分3年给予补贴，每年最高1000万元，总额最高3000万元。</w:t>
      </w:r>
    </w:p>
    <w:p>
      <w:pPr>
        <w:keepNext w:val="0"/>
        <w:keepLines w:val="0"/>
        <w:pageBreakBefore w:val="0"/>
        <w:widowControl w:val="0"/>
        <w:numPr>
          <w:ilvl w:val="0"/>
          <w:numId w:val="0"/>
        </w:numPr>
        <w:kinsoku/>
        <w:wordWrap/>
        <w:topLinePunct w:val="0"/>
        <w:autoSpaceDE/>
        <w:autoSpaceDN/>
        <w:bidi w:val="0"/>
        <w:spacing w:beforeAutospacing="0" w:afterAutospacing="0" w:line="560" w:lineRule="exact"/>
        <w:ind w:left="0" w:leftChars="0" w:firstLine="0" w:firstLineChars="0"/>
        <w:jc w:val="center"/>
        <w:textAlignment w:val="auto"/>
        <w:outlineLvl w:val="0"/>
        <w:rPr>
          <w:rFonts w:hint="eastAsia" w:ascii="Calibri" w:hAnsi="Calibri" w:eastAsia="黑体" w:cs="Times New Roman"/>
          <w:color w:val="auto"/>
          <w:kern w:val="44"/>
          <w:sz w:val="32"/>
          <w:szCs w:val="32"/>
          <w:highlight w:val="none"/>
          <w:lang w:val="en-US" w:eastAsia="zh-CN" w:bidi="ar-SA"/>
        </w:rPr>
      </w:pPr>
    </w:p>
    <w:p>
      <w:pPr>
        <w:pStyle w:val="2"/>
        <w:keepNext w:val="0"/>
        <w:keepLines w:val="0"/>
        <w:pageBreakBefore w:val="0"/>
        <w:widowControl w:val="0"/>
        <w:numPr>
          <w:ilvl w:val="0"/>
          <w:numId w:val="0"/>
        </w:numPr>
        <w:kinsoku/>
        <w:wordWrap/>
        <w:topLinePunct w:val="0"/>
        <w:autoSpaceDE/>
        <w:autoSpaceDN/>
        <w:bidi w:val="0"/>
        <w:spacing w:before="0" w:beforeLines="0" w:beforeAutospacing="0" w:after="0" w:afterLines="0" w:afterAutospacing="0" w:line="560" w:lineRule="exact"/>
        <w:ind w:left="0" w:leftChars="0" w:firstLine="0" w:firstLineChars="0"/>
        <w:jc w:val="center"/>
        <w:textAlignment w:val="auto"/>
        <w:outlineLvl w:val="0"/>
        <w:rPr>
          <w:rFonts w:hint="eastAsia" w:eastAsia="黑体" w:asciiTheme="minorHAnsi" w:hAnsiTheme="minorHAnsi" w:cstheme="minorBidi"/>
          <w:color w:val="auto"/>
          <w:kern w:val="44"/>
          <w:sz w:val="32"/>
          <w:szCs w:val="24"/>
          <w:highlight w:val="none"/>
          <w:lang w:val="en-US" w:eastAsia="zh-CN" w:bidi="ar-SA"/>
        </w:rPr>
      </w:pPr>
      <w:bookmarkStart w:id="2097" w:name="_Toc14521"/>
      <w:bookmarkStart w:id="2098" w:name="_Toc1736219798"/>
      <w:bookmarkStart w:id="2099" w:name="_Toc458"/>
      <w:bookmarkStart w:id="2100" w:name="_Toc30018"/>
      <w:r>
        <w:rPr>
          <w:rFonts w:hint="eastAsia" w:eastAsia="黑体" w:asciiTheme="minorHAnsi" w:hAnsiTheme="minorHAnsi" w:cstheme="minorBidi"/>
          <w:color w:val="auto"/>
          <w:kern w:val="44"/>
          <w:sz w:val="32"/>
          <w:szCs w:val="24"/>
          <w:highlight w:val="none"/>
          <w:lang w:val="en-US" w:eastAsia="zh-CN" w:bidi="ar-SA"/>
        </w:rPr>
        <w:t xml:space="preserve">第三章 </w:t>
      </w:r>
      <w:bookmarkEnd w:id="1977"/>
      <w:r>
        <w:rPr>
          <w:rFonts w:hint="eastAsia" w:eastAsia="黑体" w:asciiTheme="minorHAnsi" w:hAnsiTheme="minorHAnsi" w:cstheme="minorBidi"/>
          <w:color w:val="auto"/>
          <w:kern w:val="44"/>
          <w:sz w:val="32"/>
          <w:szCs w:val="24"/>
          <w:highlight w:val="none"/>
          <w:lang w:val="en-US" w:eastAsia="zh-CN" w:bidi="ar-SA"/>
        </w:rPr>
        <w:t>推动金融服务实体经济</w:t>
      </w:r>
      <w:bookmarkEnd w:id="2097"/>
      <w:bookmarkEnd w:id="2098"/>
      <w:bookmarkEnd w:id="2099"/>
      <w:bookmarkEnd w:id="2100"/>
    </w:p>
    <w:p>
      <w:pPr>
        <w:pStyle w:val="3"/>
        <w:keepNext w:val="0"/>
        <w:keepLines w:val="0"/>
        <w:pageBreakBefore w:val="0"/>
        <w:widowControl w:val="0"/>
        <w:kinsoku/>
        <w:wordWrap/>
        <w:topLinePunct w:val="0"/>
        <w:autoSpaceDE/>
        <w:autoSpaceDN/>
        <w:bidi w:val="0"/>
        <w:spacing w:before="0" w:beforeLines="0" w:beforeAutospacing="0" w:after="0" w:afterLines="0" w:afterAutospacing="0" w:line="560" w:lineRule="exact"/>
        <w:ind w:left="0" w:leftChars="0" w:firstLine="643"/>
        <w:textAlignment w:val="auto"/>
        <w:rPr>
          <w:rFonts w:hint="eastAsia" w:ascii="楷体_GB2312" w:hAnsi="楷体_GB2312" w:eastAsia="楷体_GB2312" w:cs="楷体_GB2312"/>
          <w:b/>
          <w:kern w:val="2"/>
          <w:sz w:val="32"/>
          <w:szCs w:val="24"/>
          <w:highlight w:val="none"/>
          <w:lang w:val="en-US" w:eastAsia="zh-CN" w:bidi="ar-SA"/>
        </w:rPr>
      </w:pPr>
      <w:bookmarkStart w:id="2101" w:name="_Toc4623410"/>
      <w:bookmarkStart w:id="2102" w:name="_Toc6061"/>
      <w:bookmarkStart w:id="2103" w:name="_Toc26042"/>
      <w:bookmarkStart w:id="2104" w:name="_Toc16696"/>
      <w:bookmarkStart w:id="2105" w:name="_Toc1437"/>
    </w:p>
    <w:p>
      <w:pPr>
        <w:pStyle w:val="3"/>
        <w:keepNext w:val="0"/>
        <w:keepLines w:val="0"/>
        <w:pageBreakBefore w:val="0"/>
        <w:widowControl w:val="0"/>
        <w:kinsoku/>
        <w:wordWrap/>
        <w:topLinePunct w:val="0"/>
        <w:autoSpaceDE/>
        <w:autoSpaceDN/>
        <w:bidi w:val="0"/>
        <w:spacing w:before="0" w:beforeLines="0" w:beforeAutospacing="0" w:after="0" w:afterLines="0" w:afterAutospacing="0" w:line="560" w:lineRule="exact"/>
        <w:ind w:left="0" w:leftChars="0" w:firstLine="643"/>
        <w:textAlignment w:val="auto"/>
        <w:rPr>
          <w:rFonts w:hint="eastAsia" w:ascii="楷体_GB2312" w:hAnsi="楷体_GB2312" w:eastAsia="楷体_GB2312" w:cs="楷体_GB2312"/>
          <w:b/>
          <w:color w:val="auto"/>
          <w:kern w:val="2"/>
          <w:sz w:val="32"/>
          <w:szCs w:val="24"/>
          <w:highlight w:val="none"/>
          <w:lang w:val="en-US" w:eastAsia="zh-CN" w:bidi="ar-SA"/>
        </w:rPr>
      </w:pPr>
      <w:r>
        <w:rPr>
          <w:rFonts w:hint="eastAsia" w:ascii="楷体_GB2312" w:hAnsi="楷体_GB2312" w:eastAsia="楷体_GB2312" w:cs="楷体_GB2312"/>
          <w:b/>
          <w:color w:val="auto"/>
          <w:kern w:val="2"/>
          <w:sz w:val="32"/>
          <w:szCs w:val="24"/>
          <w:highlight w:val="none"/>
          <w:lang w:val="en-US" w:eastAsia="zh-CN" w:bidi="ar-SA"/>
        </w:rPr>
        <w:t>第</w:t>
      </w:r>
      <w:r>
        <w:rPr>
          <w:rFonts w:hint="eastAsia" w:ascii="楷体_GB2312" w:hAnsi="楷体_GB2312" w:eastAsia="楷体_GB2312" w:cs="楷体_GB2312"/>
          <w:color w:val="auto"/>
          <w:highlight w:val="none"/>
          <w:lang w:eastAsia="zh-CN"/>
        </w:rPr>
        <w:t>十</w:t>
      </w:r>
      <w:r>
        <w:rPr>
          <w:rFonts w:hint="eastAsia" w:ascii="楷体_GB2312" w:hAnsi="楷体_GB2312" w:eastAsia="楷体_GB2312" w:cs="楷体_GB2312"/>
          <w:color w:val="auto"/>
          <w:highlight w:val="none"/>
          <w:lang w:val="en-US" w:eastAsia="zh-CN"/>
        </w:rPr>
        <w:t>七</w:t>
      </w:r>
      <w:r>
        <w:rPr>
          <w:rFonts w:hint="eastAsia" w:ascii="楷体_GB2312" w:hAnsi="楷体_GB2312" w:eastAsia="楷体_GB2312" w:cs="楷体_GB2312"/>
          <w:b/>
          <w:color w:val="auto"/>
          <w:kern w:val="2"/>
          <w:sz w:val="32"/>
          <w:szCs w:val="24"/>
          <w:highlight w:val="none"/>
          <w:lang w:val="en-US" w:eastAsia="zh-CN" w:bidi="ar-SA"/>
        </w:rPr>
        <w:t>条  全生命周期贴息支持</w:t>
      </w:r>
      <w:bookmarkEnd w:id="2101"/>
      <w:bookmarkEnd w:id="2102"/>
      <w:bookmarkEnd w:id="2103"/>
      <w:bookmarkEnd w:id="2104"/>
      <w:bookmarkEnd w:id="2105"/>
    </w:p>
    <w:p>
      <w:pPr>
        <w:keepNext w:val="0"/>
        <w:keepLines w:val="0"/>
        <w:pageBreakBefore w:val="0"/>
        <w:widowControl w:val="0"/>
        <w:kinsoku/>
        <w:wordWrap/>
        <w:topLinePunct w:val="0"/>
        <w:autoSpaceDE/>
        <w:autoSpaceDN/>
        <w:bidi w:val="0"/>
        <w:spacing w:beforeAutospacing="0" w:afterAutospacing="0" w:line="560" w:lineRule="exact"/>
        <w:ind w:left="0" w:leftChars="0" w:firstLine="643" w:firstLineChars="200"/>
        <w:textAlignment w:val="auto"/>
        <w:rPr>
          <w:rFonts w:hint="eastAsia" w:ascii="仿宋_GB2312" w:hAnsi="Calibri" w:eastAsia="仿宋_GB2312" w:cs="Times New Roman"/>
          <w:b/>
          <w:sz w:val="32"/>
          <w:szCs w:val="24"/>
          <w:highlight w:val="none"/>
          <w:lang w:val="en-US" w:eastAsia="zh-CN"/>
        </w:rPr>
      </w:pPr>
      <w:r>
        <w:rPr>
          <w:rFonts w:hint="eastAsia" w:ascii="仿宋_GB2312" w:hAnsi="Calibri" w:eastAsia="仿宋_GB2312" w:cs="Times New Roman"/>
          <w:b/>
          <w:sz w:val="32"/>
          <w:szCs w:val="24"/>
          <w:highlight w:val="none"/>
          <w:lang w:val="en-US" w:eastAsia="zh-CN"/>
        </w:rPr>
        <w:t>（一）初创期小微企业贷款贴息扶持</w:t>
      </w:r>
    </w:p>
    <w:p>
      <w:pPr>
        <w:keepNext w:val="0"/>
        <w:keepLines w:val="0"/>
        <w:pageBreakBefore w:val="0"/>
        <w:widowControl w:val="0"/>
        <w:kinsoku/>
        <w:wordWrap/>
        <w:topLinePunct w:val="0"/>
        <w:autoSpaceDE/>
        <w:autoSpaceDN/>
        <w:bidi w:val="0"/>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对符合南山区产业发展方向且上年度营收正增长的规下工业样本企业给予融资扶持，在其短期贷款项目结清后，最高按实际支付利息70%的比例给予贴息扶持，每家企业每年贴息总额最高50万元</w:t>
      </w:r>
      <w:r>
        <w:rPr>
          <w:rFonts w:hint="eastAsia" w:ascii="仿宋_GB2312" w:hAnsi="仿宋_GB2312" w:cs="仿宋_GB2312"/>
          <w:sz w:val="32"/>
          <w:szCs w:val="40"/>
          <w:highlight w:val="none"/>
          <w:lang w:val="en-US" w:eastAsia="zh-CN"/>
        </w:rPr>
        <w:t>。</w:t>
      </w:r>
    </w:p>
    <w:p>
      <w:pPr>
        <w:keepNext w:val="0"/>
        <w:keepLines w:val="0"/>
        <w:pageBreakBefore w:val="0"/>
        <w:widowControl w:val="0"/>
        <w:kinsoku/>
        <w:wordWrap/>
        <w:topLinePunct w:val="0"/>
        <w:autoSpaceDE/>
        <w:autoSpaceDN/>
        <w:bidi w:val="0"/>
        <w:spacing w:beforeAutospacing="0" w:afterAutospacing="0" w:line="560" w:lineRule="exact"/>
        <w:ind w:left="0" w:leftChars="0" w:firstLine="643" w:firstLineChars="200"/>
        <w:textAlignment w:val="auto"/>
        <w:rPr>
          <w:rFonts w:hint="eastAsia" w:ascii="仿宋_GB2312" w:hAnsi="Calibri" w:eastAsia="仿宋_GB2312" w:cs="Times New Roman"/>
          <w:b/>
          <w:sz w:val="32"/>
          <w:szCs w:val="24"/>
          <w:highlight w:val="none"/>
          <w:lang w:val="en-US" w:eastAsia="zh-CN"/>
        </w:rPr>
      </w:pPr>
      <w:r>
        <w:rPr>
          <w:rFonts w:hint="eastAsia" w:ascii="仿宋_GB2312" w:hAnsi="Calibri" w:eastAsia="仿宋_GB2312" w:cs="Times New Roman"/>
          <w:b/>
          <w:sz w:val="32"/>
          <w:szCs w:val="24"/>
          <w:highlight w:val="none"/>
          <w:lang w:val="en-US" w:eastAsia="zh-CN"/>
        </w:rPr>
        <w:t>（</w:t>
      </w:r>
      <w:r>
        <w:rPr>
          <w:rFonts w:hint="eastAsia" w:ascii="仿宋_GB2312" w:hAnsi="Calibri" w:cs="Times New Roman"/>
          <w:b/>
          <w:sz w:val="32"/>
          <w:szCs w:val="24"/>
          <w:highlight w:val="none"/>
          <w:lang w:val="en-US" w:eastAsia="zh-CN"/>
        </w:rPr>
        <w:t>二</w:t>
      </w:r>
      <w:r>
        <w:rPr>
          <w:rFonts w:hint="eastAsia" w:ascii="仿宋_GB2312" w:hAnsi="Calibri" w:eastAsia="仿宋_GB2312" w:cs="Times New Roman"/>
          <w:b/>
          <w:sz w:val="32"/>
          <w:szCs w:val="24"/>
          <w:highlight w:val="none"/>
          <w:lang w:val="en-US" w:eastAsia="zh-CN"/>
        </w:rPr>
        <w:t>）成长期企业贷款贴息扶持</w:t>
      </w:r>
    </w:p>
    <w:p>
      <w:pPr>
        <w:keepNext w:val="0"/>
        <w:keepLines w:val="0"/>
        <w:pageBreakBefore w:val="0"/>
        <w:widowControl w:val="0"/>
        <w:kinsoku/>
        <w:wordWrap/>
        <w:topLinePunct w:val="0"/>
        <w:autoSpaceDE/>
        <w:autoSpaceDN/>
        <w:bidi w:val="0"/>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对符合南山区产业发展方向</w:t>
      </w:r>
      <w:r>
        <w:rPr>
          <w:rFonts w:hint="eastAsia" w:ascii="仿宋_GB2312" w:hAnsi="仿宋_GB2312" w:cs="仿宋_GB2312"/>
          <w:sz w:val="32"/>
          <w:szCs w:val="40"/>
          <w:highlight w:val="none"/>
          <w:lang w:val="en-US" w:eastAsia="zh-CN"/>
        </w:rPr>
        <w:t>且</w:t>
      </w:r>
      <w:r>
        <w:rPr>
          <w:rFonts w:hint="eastAsia" w:ascii="仿宋_GB2312" w:hAnsi="仿宋_GB2312" w:eastAsia="仿宋_GB2312" w:cs="仿宋_GB2312"/>
          <w:sz w:val="32"/>
          <w:szCs w:val="40"/>
          <w:highlight w:val="none"/>
          <w:lang w:val="en-US" w:eastAsia="zh-CN"/>
        </w:rPr>
        <w:t>上年度纳入产值增速高于全区各行业总产值平均增速的成长期企业给予融资扶持，在其贷款项目结清后，最高按实际支付利息50%的比例给予贴息扶持，每家企业每年贴息总额最高100万元。</w:t>
      </w:r>
    </w:p>
    <w:p>
      <w:pPr>
        <w:keepNext w:val="0"/>
        <w:keepLines w:val="0"/>
        <w:pageBreakBefore w:val="0"/>
        <w:widowControl w:val="0"/>
        <w:kinsoku/>
        <w:wordWrap/>
        <w:topLinePunct w:val="0"/>
        <w:autoSpaceDE/>
        <w:autoSpaceDN/>
        <w:bidi w:val="0"/>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其中对专精特新“小巨人”企业最高按实际支付利息70%的比例给予贴息扶持，每家企业每年贴息总额最高300万元。</w:t>
      </w:r>
    </w:p>
    <w:p>
      <w:pPr>
        <w:keepNext w:val="0"/>
        <w:keepLines w:val="0"/>
        <w:pageBreakBefore w:val="0"/>
        <w:widowControl w:val="0"/>
        <w:kinsoku/>
        <w:wordWrap/>
        <w:topLinePunct w:val="0"/>
        <w:autoSpaceDE/>
        <w:autoSpaceDN/>
        <w:bidi w:val="0"/>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其中上年度纳入南山区统计的工业产值超过3亿元且产值增速高于全区工业总产值平均增速的工业企业最高按实际支付利息50%的比例给予贴息扶持，每家企业每年贴息总额最高300万元。</w:t>
      </w:r>
    </w:p>
    <w:p>
      <w:pPr>
        <w:keepNext w:val="0"/>
        <w:keepLines w:val="0"/>
        <w:pageBreakBefore w:val="0"/>
        <w:widowControl w:val="0"/>
        <w:kinsoku/>
        <w:wordWrap/>
        <w:topLinePunct w:val="0"/>
        <w:autoSpaceDE/>
        <w:autoSpaceDN/>
        <w:bidi w:val="0"/>
        <w:spacing w:beforeAutospacing="0" w:afterAutospacing="0" w:line="560" w:lineRule="exact"/>
        <w:ind w:left="0" w:leftChars="0" w:firstLine="643" w:firstLineChars="200"/>
        <w:textAlignment w:val="auto"/>
        <w:rPr>
          <w:rFonts w:hint="eastAsia" w:ascii="仿宋_GB2312" w:hAnsi="Calibri" w:eastAsia="仿宋_GB2312" w:cs="Times New Roman"/>
          <w:b/>
          <w:sz w:val="32"/>
          <w:szCs w:val="24"/>
          <w:highlight w:val="none"/>
          <w:lang w:val="en-US" w:eastAsia="zh-CN"/>
        </w:rPr>
      </w:pPr>
      <w:r>
        <w:rPr>
          <w:rFonts w:hint="eastAsia" w:ascii="仿宋_GB2312" w:hAnsi="Calibri" w:eastAsia="仿宋_GB2312" w:cs="Times New Roman"/>
          <w:b/>
          <w:sz w:val="32"/>
          <w:szCs w:val="24"/>
          <w:highlight w:val="none"/>
          <w:lang w:val="en-US" w:eastAsia="zh-CN"/>
        </w:rPr>
        <w:t>（</w:t>
      </w:r>
      <w:r>
        <w:rPr>
          <w:rFonts w:hint="eastAsia" w:ascii="仿宋_GB2312" w:hAnsi="Calibri" w:cs="Times New Roman"/>
          <w:b/>
          <w:sz w:val="32"/>
          <w:szCs w:val="24"/>
          <w:highlight w:val="none"/>
          <w:lang w:val="en-US" w:eastAsia="zh-CN"/>
        </w:rPr>
        <w:t>三</w:t>
      </w:r>
      <w:r>
        <w:rPr>
          <w:rFonts w:hint="eastAsia" w:ascii="仿宋_GB2312" w:hAnsi="Calibri" w:eastAsia="仿宋_GB2312" w:cs="Times New Roman"/>
          <w:b/>
          <w:sz w:val="32"/>
          <w:szCs w:val="24"/>
          <w:highlight w:val="none"/>
          <w:lang w:val="en-US" w:eastAsia="zh-CN"/>
        </w:rPr>
        <w:t>）拟上市企业贷款贴息扶持</w:t>
      </w:r>
    </w:p>
    <w:p>
      <w:pPr>
        <w:keepNext w:val="0"/>
        <w:keepLines w:val="0"/>
        <w:pageBreakBefore w:val="0"/>
        <w:widowControl w:val="0"/>
        <w:kinsoku/>
        <w:wordWrap/>
        <w:topLinePunct w:val="0"/>
        <w:autoSpaceDE/>
        <w:autoSpaceDN/>
        <w:bidi w:val="0"/>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对拟上市企业、新三板企业给予融资扶持，在其短期贷款项目结清后，最高按实际支付利息70%的比例给予贴息扶持，每家企业每年贴息总额最高200万元。</w:t>
      </w:r>
    </w:p>
    <w:p>
      <w:pPr>
        <w:pStyle w:val="3"/>
        <w:keepNext w:val="0"/>
        <w:keepLines w:val="0"/>
        <w:pageBreakBefore w:val="0"/>
        <w:widowControl w:val="0"/>
        <w:kinsoku/>
        <w:wordWrap/>
        <w:topLinePunct w:val="0"/>
        <w:autoSpaceDE/>
        <w:autoSpaceDN/>
        <w:bidi w:val="0"/>
        <w:spacing w:before="0" w:beforeLines="0" w:beforeAutospacing="0" w:after="0" w:afterLines="0" w:afterAutospacing="0" w:line="560" w:lineRule="exact"/>
        <w:ind w:left="0" w:leftChars="0" w:firstLine="643"/>
        <w:textAlignment w:val="auto"/>
        <w:rPr>
          <w:rFonts w:hint="eastAsia" w:ascii="楷体_GB2312" w:hAnsi="楷体_GB2312" w:eastAsia="楷体_GB2312" w:cs="楷体_GB2312"/>
          <w:b/>
          <w:color w:val="auto"/>
          <w:kern w:val="2"/>
          <w:sz w:val="32"/>
          <w:szCs w:val="24"/>
          <w:highlight w:val="none"/>
          <w:lang w:val="en-US" w:eastAsia="zh-CN" w:bidi="ar-SA"/>
        </w:rPr>
      </w:pPr>
      <w:bookmarkStart w:id="2106" w:name="_Toc23026"/>
      <w:bookmarkStart w:id="2107" w:name="_Toc5814"/>
      <w:bookmarkStart w:id="2108" w:name="_Toc100390747"/>
      <w:r>
        <w:rPr>
          <w:rFonts w:hint="eastAsia" w:ascii="楷体_GB2312" w:hAnsi="楷体_GB2312" w:eastAsia="楷体_GB2312" w:cs="楷体_GB2312"/>
          <w:b/>
          <w:color w:val="auto"/>
          <w:kern w:val="2"/>
          <w:sz w:val="32"/>
          <w:szCs w:val="24"/>
          <w:highlight w:val="none"/>
          <w:lang w:val="en-US" w:eastAsia="zh-CN" w:bidi="ar-SA"/>
        </w:rPr>
        <w:t xml:space="preserve">第十八条 </w:t>
      </w:r>
      <w:bookmarkEnd w:id="2106"/>
      <w:r>
        <w:rPr>
          <w:rFonts w:hint="eastAsia" w:ascii="楷体_GB2312" w:hAnsi="楷体_GB2312" w:eastAsia="楷体_GB2312" w:cs="楷体_GB2312"/>
          <w:b/>
          <w:color w:val="auto"/>
          <w:kern w:val="2"/>
          <w:sz w:val="32"/>
          <w:szCs w:val="24"/>
          <w:highlight w:val="none"/>
          <w:lang w:val="en-US" w:eastAsia="zh-CN" w:bidi="ar-SA"/>
        </w:rPr>
        <w:t xml:space="preserve"> 知识产权证券化融资支持</w:t>
      </w:r>
      <w:bookmarkEnd w:id="2107"/>
      <w:bookmarkEnd w:id="2108"/>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对辖区符合条件的企业参与发行知识产权证券化产品获得融资的，按实际融资成本不高于70%的比例给予资助。</w:t>
      </w:r>
    </w:p>
    <w:p>
      <w:pPr>
        <w:pStyle w:val="3"/>
        <w:keepNext w:val="0"/>
        <w:keepLines w:val="0"/>
        <w:pageBreakBefore w:val="0"/>
        <w:widowControl w:val="0"/>
        <w:kinsoku/>
        <w:wordWrap/>
        <w:topLinePunct w:val="0"/>
        <w:autoSpaceDE/>
        <w:autoSpaceDN/>
        <w:bidi w:val="0"/>
        <w:spacing w:before="0" w:beforeLines="0" w:beforeAutospacing="0" w:after="0" w:afterLines="0" w:afterAutospacing="0" w:line="560" w:lineRule="exact"/>
        <w:ind w:left="0" w:leftChars="0" w:firstLine="643"/>
        <w:jc w:val="both"/>
        <w:textAlignment w:val="auto"/>
        <w:outlineLvl w:val="1"/>
        <w:rPr>
          <w:rFonts w:hint="eastAsia" w:ascii="楷体_GB2312" w:hAnsi="楷体_GB2312" w:eastAsia="楷体_GB2312" w:cs="楷体_GB2312"/>
          <w:b/>
          <w:color w:val="auto"/>
          <w:kern w:val="2"/>
          <w:sz w:val="32"/>
          <w:szCs w:val="24"/>
          <w:highlight w:val="none"/>
          <w:lang w:val="en-US" w:eastAsia="zh-CN" w:bidi="ar-SA"/>
        </w:rPr>
      </w:pPr>
      <w:bookmarkStart w:id="2109" w:name="_Toc8601"/>
      <w:bookmarkStart w:id="2110" w:name="_Toc1746"/>
      <w:bookmarkStart w:id="2111" w:name="_Toc15953"/>
      <w:bookmarkStart w:id="2112" w:name="_Toc13838"/>
      <w:bookmarkStart w:id="2113" w:name="_Toc1209554573"/>
      <w:r>
        <w:rPr>
          <w:rFonts w:hint="eastAsia" w:ascii="楷体_GB2312" w:hAnsi="楷体_GB2312" w:eastAsia="楷体_GB2312" w:cs="楷体_GB2312"/>
          <w:b/>
          <w:color w:val="auto"/>
          <w:kern w:val="2"/>
          <w:sz w:val="32"/>
          <w:szCs w:val="24"/>
          <w:highlight w:val="none"/>
          <w:lang w:val="en-US" w:eastAsia="zh-CN" w:bidi="ar-SA"/>
        </w:rPr>
        <w:t xml:space="preserve">第十九条  </w:t>
      </w:r>
      <w:r>
        <w:rPr>
          <w:rFonts w:hint="eastAsia" w:ascii="楷体_GB2312" w:hAnsi="楷体_GB2312" w:eastAsia="楷体_GB2312" w:cs="楷体_GB2312"/>
          <w:b/>
          <w:color w:val="auto"/>
          <w:kern w:val="2"/>
          <w:sz w:val="32"/>
          <w:szCs w:val="24"/>
          <w:highlight w:val="none"/>
          <w:lang w:val="en-US" w:eastAsia="zh-CN" w:bidi="ar-SA"/>
        </w:rPr>
        <w:fldChar w:fldCharType="begin"/>
      </w:r>
      <w:r>
        <w:rPr>
          <w:rFonts w:hint="eastAsia" w:ascii="楷体_GB2312" w:hAnsi="楷体_GB2312" w:eastAsia="楷体_GB2312" w:cs="楷体_GB2312"/>
          <w:b/>
          <w:color w:val="auto"/>
          <w:kern w:val="2"/>
          <w:sz w:val="32"/>
          <w:szCs w:val="24"/>
          <w:highlight w:val="none"/>
          <w:lang w:val="en-US" w:eastAsia="zh-CN" w:bidi="ar-SA"/>
        </w:rPr>
        <w:instrText xml:space="preserve"> HYPERLINK \l "_Toc11675" </w:instrText>
      </w:r>
      <w:r>
        <w:rPr>
          <w:rFonts w:hint="eastAsia" w:ascii="楷体_GB2312" w:hAnsi="楷体_GB2312" w:eastAsia="楷体_GB2312" w:cs="楷体_GB2312"/>
          <w:b/>
          <w:color w:val="auto"/>
          <w:kern w:val="2"/>
          <w:sz w:val="32"/>
          <w:szCs w:val="24"/>
          <w:highlight w:val="none"/>
          <w:lang w:val="en-US" w:eastAsia="zh-CN" w:bidi="ar-SA"/>
        </w:rPr>
        <w:fldChar w:fldCharType="separate"/>
      </w:r>
      <w:r>
        <w:rPr>
          <w:rFonts w:hint="eastAsia" w:ascii="楷体_GB2312" w:hAnsi="楷体_GB2312" w:eastAsia="楷体_GB2312" w:cs="楷体_GB2312"/>
          <w:b/>
          <w:color w:val="auto"/>
          <w:kern w:val="2"/>
          <w:sz w:val="32"/>
          <w:szCs w:val="24"/>
          <w:highlight w:val="none"/>
          <w:lang w:val="en-US" w:eastAsia="zh-CN" w:bidi="ar-SA"/>
        </w:rPr>
        <w:t>支持供应链金融融资</w:t>
      </w:r>
      <w:r>
        <w:rPr>
          <w:rFonts w:hint="eastAsia" w:ascii="楷体_GB2312" w:hAnsi="楷体_GB2312" w:eastAsia="楷体_GB2312" w:cs="楷体_GB2312"/>
          <w:b/>
          <w:color w:val="auto"/>
          <w:kern w:val="2"/>
          <w:sz w:val="32"/>
          <w:szCs w:val="24"/>
          <w:highlight w:val="none"/>
          <w:lang w:val="en-US" w:eastAsia="zh-CN" w:bidi="ar-SA"/>
        </w:rPr>
        <w:fldChar w:fldCharType="end"/>
      </w:r>
      <w:bookmarkEnd w:id="2109"/>
      <w:bookmarkEnd w:id="2110"/>
      <w:bookmarkEnd w:id="2111"/>
      <w:bookmarkEnd w:id="2112"/>
      <w:bookmarkEnd w:id="2113"/>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sz w:val="32"/>
          <w:szCs w:val="40"/>
          <w:highlight w:val="none"/>
          <w:lang w:val="en-US" w:eastAsia="zh-CN"/>
        </w:rPr>
        <w:t>（一）对符合南山区产业发展方向</w:t>
      </w:r>
      <w:r>
        <w:rPr>
          <w:rFonts w:hint="eastAsia" w:ascii="仿宋_GB2312" w:hAnsi="仿宋_GB2312" w:cs="仿宋_GB2312"/>
          <w:sz w:val="32"/>
          <w:szCs w:val="40"/>
          <w:highlight w:val="none"/>
          <w:lang w:val="en-US" w:eastAsia="zh-CN"/>
        </w:rPr>
        <w:t>的</w:t>
      </w:r>
      <w:r>
        <w:rPr>
          <w:rFonts w:hint="eastAsia" w:ascii="仿宋_GB2312" w:hAnsi="仿宋_GB2312" w:eastAsia="仿宋_GB2312" w:cs="仿宋_GB2312"/>
          <w:sz w:val="32"/>
          <w:szCs w:val="40"/>
          <w:highlight w:val="none"/>
          <w:lang w:val="en-US" w:eastAsia="zh-CN"/>
        </w:rPr>
        <w:t>中小微企业</w:t>
      </w:r>
      <w:r>
        <w:rPr>
          <w:rFonts w:hint="eastAsia" w:ascii="仿宋_GB2312" w:hAnsi="仿宋_GB2312" w:cs="仿宋_GB2312"/>
          <w:sz w:val="32"/>
          <w:szCs w:val="40"/>
          <w:highlight w:val="none"/>
          <w:lang w:val="en-US" w:eastAsia="zh-CN"/>
        </w:rPr>
        <w:t>，</w:t>
      </w:r>
      <w:r>
        <w:rPr>
          <w:rFonts w:hint="eastAsia" w:ascii="仿宋_GB2312" w:hAnsi="仿宋_GB2312" w:eastAsia="仿宋_GB2312" w:cs="仿宋_GB2312"/>
          <w:sz w:val="32"/>
          <w:szCs w:val="40"/>
          <w:highlight w:val="none"/>
          <w:lang w:val="en-US" w:eastAsia="zh-CN"/>
        </w:rPr>
        <w:t>依托“中征应收账款融资服务平台”、“上海票据交易所供应链票据平台”或银行自建的供应链融资平台</w:t>
      </w:r>
      <w:r>
        <w:rPr>
          <w:rFonts w:hint="eastAsia" w:ascii="仿宋_GB2312" w:hAnsi="仿宋_GB2312" w:cs="仿宋_GB2312"/>
          <w:sz w:val="32"/>
          <w:szCs w:val="40"/>
          <w:highlight w:val="none"/>
          <w:lang w:val="en-US" w:eastAsia="zh-CN"/>
        </w:rPr>
        <w:t>，</w:t>
      </w:r>
      <w:r>
        <w:rPr>
          <w:rFonts w:hint="eastAsia" w:ascii="仿宋_GB2312" w:hAnsi="仿宋_GB2312" w:eastAsia="仿宋_GB2312" w:cs="仿宋_GB2312"/>
          <w:sz w:val="32"/>
          <w:szCs w:val="40"/>
          <w:highlight w:val="none"/>
          <w:lang w:val="en-US" w:eastAsia="zh-CN"/>
        </w:rPr>
        <w:t>从合作银行获得订单融资、仓单融资、应收账款融资、供应链票据贴现等供应链金融产品</w:t>
      </w:r>
      <w:r>
        <w:rPr>
          <w:rFonts w:hint="eastAsia" w:ascii="仿宋_GB2312" w:hAnsi="仿宋_GB2312" w:cs="仿宋_GB2312"/>
          <w:sz w:val="32"/>
          <w:szCs w:val="40"/>
          <w:highlight w:val="none"/>
          <w:lang w:val="en-US" w:eastAsia="zh-CN"/>
        </w:rPr>
        <w:t>的，</w:t>
      </w:r>
      <w:r>
        <w:rPr>
          <w:rFonts w:hint="eastAsia" w:ascii="仿宋_GB2312" w:hAnsi="仿宋_GB2312" w:eastAsia="仿宋_GB2312" w:cs="仿宋_GB2312"/>
          <w:color w:val="auto"/>
          <w:kern w:val="2"/>
          <w:sz w:val="32"/>
          <w:szCs w:val="32"/>
          <w:highlight w:val="none"/>
          <w:lang w:val="en-US" w:eastAsia="zh-CN" w:bidi="ar-SA"/>
        </w:rPr>
        <w:t>在其贷款项目结清后，最高按实际支付利息20%的比例给予贴息扶持，每家企业每年贴息总额最高10万元，</w:t>
      </w:r>
      <w:r>
        <w:rPr>
          <w:rFonts w:hint="eastAsia" w:ascii="仿宋_GB2312" w:hAnsi="仿宋_GB2312" w:eastAsia="仿宋_GB2312" w:cs="仿宋_GB2312"/>
          <w:sz w:val="32"/>
          <w:szCs w:val="40"/>
          <w:highlight w:val="none"/>
          <w:lang w:val="en-US" w:eastAsia="zh-CN"/>
        </w:rPr>
        <w:t>贴息期限1年。</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二）对符合条件的企业开展融资租赁或商业保理业务获得融资的，最高按实际支付融资费用70%的比例给予费用支持，每家企业每年每类资助最高100万元。其中国家级、省级“专精特新”企业开展融资租赁或商业保理业务获得融资的，最高按实际支付融资费用70%的比例给予费用支持，每家企业每年每类资助最高150万元。</w:t>
      </w:r>
    </w:p>
    <w:p>
      <w:pPr>
        <w:pStyle w:val="3"/>
        <w:keepNext w:val="0"/>
        <w:keepLines w:val="0"/>
        <w:pageBreakBefore w:val="0"/>
        <w:widowControl w:val="0"/>
        <w:kinsoku/>
        <w:wordWrap/>
        <w:topLinePunct w:val="0"/>
        <w:autoSpaceDE/>
        <w:autoSpaceDN/>
        <w:bidi w:val="0"/>
        <w:spacing w:before="0" w:beforeLines="0" w:beforeAutospacing="0" w:after="0" w:afterLines="0" w:afterAutospacing="0" w:line="560" w:lineRule="exact"/>
        <w:ind w:left="0" w:leftChars="0" w:firstLine="643" w:firstLineChars="200"/>
        <w:jc w:val="both"/>
        <w:textAlignment w:val="auto"/>
        <w:outlineLvl w:val="1"/>
        <w:rPr>
          <w:rFonts w:hint="eastAsia" w:ascii="楷体_GB2312" w:hAnsi="楷体_GB2312" w:eastAsia="楷体_GB2312" w:cs="楷体_GB2312"/>
          <w:b/>
          <w:color w:val="auto"/>
          <w:kern w:val="2"/>
          <w:sz w:val="32"/>
          <w:szCs w:val="24"/>
          <w:highlight w:val="none"/>
          <w:lang w:val="en-US" w:eastAsia="zh-CN" w:bidi="ar-SA"/>
        </w:rPr>
      </w:pPr>
      <w:bookmarkStart w:id="2114" w:name="_Toc16950"/>
      <w:bookmarkStart w:id="2115" w:name="_Toc20489"/>
      <w:bookmarkStart w:id="2116" w:name="_Toc18593"/>
      <w:bookmarkStart w:id="2117" w:name="_Toc27703"/>
      <w:bookmarkStart w:id="2118" w:name="_Toc164564914"/>
      <w:r>
        <w:rPr>
          <w:rFonts w:hint="eastAsia" w:ascii="楷体_GB2312" w:hAnsi="楷体_GB2312" w:eastAsia="楷体_GB2312" w:cs="楷体_GB2312"/>
          <w:b/>
          <w:color w:val="auto"/>
          <w:kern w:val="2"/>
          <w:sz w:val="32"/>
          <w:szCs w:val="24"/>
          <w:highlight w:val="none"/>
          <w:lang w:val="en-US" w:eastAsia="zh-CN" w:bidi="ar-SA"/>
        </w:rPr>
        <w:t xml:space="preserve">第二十条  </w:t>
      </w:r>
      <w:r>
        <w:rPr>
          <w:rFonts w:hint="eastAsia" w:ascii="楷体_GB2312" w:hAnsi="楷体_GB2312" w:eastAsia="楷体_GB2312" w:cs="楷体_GB2312"/>
          <w:b/>
          <w:color w:val="auto"/>
          <w:kern w:val="2"/>
          <w:sz w:val="32"/>
          <w:szCs w:val="24"/>
          <w:highlight w:val="none"/>
          <w:lang w:val="en-US" w:eastAsia="zh-CN" w:bidi="ar-SA"/>
        </w:rPr>
        <w:fldChar w:fldCharType="begin"/>
      </w:r>
      <w:r>
        <w:rPr>
          <w:rFonts w:hint="eastAsia" w:ascii="楷体_GB2312" w:hAnsi="楷体_GB2312" w:eastAsia="楷体_GB2312" w:cs="楷体_GB2312"/>
          <w:b/>
          <w:color w:val="auto"/>
          <w:kern w:val="2"/>
          <w:sz w:val="32"/>
          <w:szCs w:val="24"/>
          <w:highlight w:val="none"/>
          <w:lang w:val="en-US" w:eastAsia="zh-CN" w:bidi="ar-SA"/>
        </w:rPr>
        <w:instrText xml:space="preserve"> HYPERLINK \l "_Toc3770" </w:instrText>
      </w:r>
      <w:r>
        <w:rPr>
          <w:rFonts w:hint="eastAsia" w:ascii="楷体_GB2312" w:hAnsi="楷体_GB2312" w:eastAsia="楷体_GB2312" w:cs="楷体_GB2312"/>
          <w:b/>
          <w:color w:val="auto"/>
          <w:kern w:val="2"/>
          <w:sz w:val="32"/>
          <w:szCs w:val="24"/>
          <w:highlight w:val="none"/>
          <w:lang w:val="en-US" w:eastAsia="zh-CN" w:bidi="ar-SA"/>
        </w:rPr>
        <w:fldChar w:fldCharType="end"/>
      </w:r>
      <w:r>
        <w:rPr>
          <w:rFonts w:hint="eastAsia" w:ascii="楷体_GB2312" w:hAnsi="楷体_GB2312" w:eastAsia="楷体_GB2312" w:cs="楷体_GB2312"/>
          <w:b/>
          <w:color w:val="auto"/>
          <w:kern w:val="2"/>
          <w:sz w:val="32"/>
          <w:szCs w:val="24"/>
          <w:highlight w:val="none"/>
          <w:lang w:val="en-US" w:eastAsia="zh-CN" w:bidi="ar-SA"/>
        </w:rPr>
        <w:fldChar w:fldCharType="begin"/>
      </w:r>
      <w:r>
        <w:rPr>
          <w:rFonts w:hint="eastAsia" w:ascii="楷体_GB2312" w:hAnsi="楷体_GB2312" w:eastAsia="楷体_GB2312" w:cs="楷体_GB2312"/>
          <w:b/>
          <w:color w:val="auto"/>
          <w:kern w:val="2"/>
          <w:sz w:val="32"/>
          <w:szCs w:val="24"/>
          <w:highlight w:val="none"/>
          <w:lang w:val="en-US" w:eastAsia="zh-CN" w:bidi="ar-SA"/>
        </w:rPr>
        <w:instrText xml:space="preserve"> HYPERLINK \l "_Toc6105" </w:instrText>
      </w:r>
      <w:r>
        <w:rPr>
          <w:rFonts w:hint="eastAsia" w:ascii="楷体_GB2312" w:hAnsi="楷体_GB2312" w:eastAsia="楷体_GB2312" w:cs="楷体_GB2312"/>
          <w:b/>
          <w:color w:val="auto"/>
          <w:kern w:val="2"/>
          <w:sz w:val="32"/>
          <w:szCs w:val="24"/>
          <w:highlight w:val="none"/>
          <w:lang w:val="en-US" w:eastAsia="zh-CN" w:bidi="ar-SA"/>
        </w:rPr>
        <w:fldChar w:fldCharType="separate"/>
      </w:r>
      <w:r>
        <w:rPr>
          <w:rFonts w:hint="eastAsia" w:ascii="楷体_GB2312" w:hAnsi="楷体_GB2312" w:eastAsia="楷体_GB2312" w:cs="楷体_GB2312"/>
          <w:b/>
          <w:color w:val="auto"/>
          <w:kern w:val="2"/>
          <w:sz w:val="32"/>
          <w:szCs w:val="24"/>
          <w:highlight w:val="none"/>
          <w:lang w:val="en-US" w:eastAsia="zh-CN" w:bidi="ar-SA"/>
        </w:rPr>
        <w:t>支持企业发债融资</w:t>
      </w:r>
      <w:r>
        <w:rPr>
          <w:rFonts w:hint="eastAsia" w:ascii="楷体_GB2312" w:hAnsi="楷体_GB2312" w:eastAsia="楷体_GB2312" w:cs="楷体_GB2312"/>
          <w:b/>
          <w:color w:val="auto"/>
          <w:kern w:val="2"/>
          <w:sz w:val="32"/>
          <w:szCs w:val="24"/>
          <w:highlight w:val="none"/>
          <w:lang w:val="en-US" w:eastAsia="zh-CN" w:bidi="ar-SA"/>
        </w:rPr>
        <w:fldChar w:fldCharType="end"/>
      </w:r>
      <w:bookmarkEnd w:id="2114"/>
      <w:bookmarkEnd w:id="2115"/>
      <w:bookmarkEnd w:id="2116"/>
      <w:bookmarkEnd w:id="2117"/>
      <w:bookmarkEnd w:id="2118"/>
    </w:p>
    <w:p>
      <w:pPr>
        <w:keepNext w:val="0"/>
        <w:keepLines w:val="0"/>
        <w:pageBreakBefore w:val="0"/>
        <w:widowControl w:val="0"/>
        <w:kinsoku/>
        <w:wordWrap/>
        <w:topLinePunct w:val="0"/>
        <w:autoSpaceDE/>
        <w:autoSpaceDN/>
        <w:bidi w:val="0"/>
        <w:spacing w:beforeAutospacing="0" w:afterAutospacing="0" w:line="560" w:lineRule="exact"/>
        <w:ind w:left="0" w:leftChars="0" w:firstLine="640" w:firstLineChars="200"/>
        <w:textAlignment w:val="auto"/>
        <w:rPr>
          <w:rFonts w:hint="eastAsia" w:ascii="Calibri" w:hAnsi="Calibri" w:eastAsia="仿宋_GB2312" w:cs="Times New Roman"/>
          <w:color w:val="auto"/>
          <w:sz w:val="32"/>
          <w:highlight w:val="none"/>
          <w:lang w:eastAsia="zh-CN"/>
        </w:rPr>
      </w:pPr>
      <w:r>
        <w:rPr>
          <w:rFonts w:hint="eastAsia" w:ascii="Calibri" w:hAnsi="Calibri" w:eastAsia="仿宋_GB2312" w:cs="Times New Roman"/>
          <w:color w:val="auto"/>
          <w:sz w:val="32"/>
          <w:highlight w:val="none"/>
          <w:lang w:eastAsia="zh-CN"/>
        </w:rPr>
        <w:t>（一）支持企业发行债券融资，对成功完成融资的辖区内的企业，每个项目最高按发行规模的2%的比例给予资助，每家企业每年最高资助200万元。</w:t>
      </w:r>
    </w:p>
    <w:p>
      <w:pPr>
        <w:keepNext w:val="0"/>
        <w:keepLines w:val="0"/>
        <w:pageBreakBefore w:val="0"/>
        <w:widowControl w:val="0"/>
        <w:kinsoku/>
        <w:wordWrap/>
        <w:topLinePunct w:val="0"/>
        <w:autoSpaceDE/>
        <w:autoSpaceDN/>
        <w:bidi w:val="0"/>
        <w:spacing w:beforeAutospacing="0" w:afterAutospacing="0" w:line="560" w:lineRule="exact"/>
        <w:ind w:left="0" w:leftChars="0" w:firstLine="640" w:firstLineChars="200"/>
        <w:textAlignment w:val="auto"/>
        <w:rPr>
          <w:rFonts w:hint="eastAsia" w:ascii="Calibri" w:hAnsi="Calibri" w:eastAsia="仿宋_GB2312" w:cs="Times New Roman"/>
          <w:color w:val="auto"/>
          <w:sz w:val="32"/>
          <w:highlight w:val="none"/>
          <w:lang w:eastAsia="zh-CN"/>
        </w:rPr>
      </w:pPr>
      <w:r>
        <w:rPr>
          <w:rFonts w:hint="eastAsia" w:ascii="Calibri" w:hAnsi="Calibri" w:eastAsia="仿宋_GB2312" w:cs="Times New Roman"/>
          <w:color w:val="auto"/>
          <w:sz w:val="32"/>
          <w:highlight w:val="none"/>
          <w:lang w:eastAsia="zh-CN"/>
        </w:rPr>
        <w:t>（二）对“专精特新”企业发行债券融资及绿色债券项目，可最高按发行规模的2%的比例给予资助，每家企业每年最高资助300万元。</w:t>
      </w:r>
    </w:p>
    <w:p>
      <w:pPr>
        <w:pStyle w:val="3"/>
        <w:keepNext w:val="0"/>
        <w:keepLines w:val="0"/>
        <w:pageBreakBefore w:val="0"/>
        <w:widowControl w:val="0"/>
        <w:kinsoku/>
        <w:wordWrap/>
        <w:topLinePunct w:val="0"/>
        <w:autoSpaceDE/>
        <w:autoSpaceDN/>
        <w:bidi w:val="0"/>
        <w:spacing w:before="0" w:beforeLines="0" w:beforeAutospacing="0" w:after="0" w:afterLines="0" w:afterAutospacing="0" w:line="560" w:lineRule="exact"/>
        <w:ind w:left="0" w:leftChars="0" w:firstLine="643" w:firstLineChars="200"/>
        <w:jc w:val="both"/>
        <w:textAlignment w:val="auto"/>
        <w:outlineLvl w:val="1"/>
        <w:rPr>
          <w:rFonts w:hint="eastAsia" w:ascii="楷体_GB2312" w:hAnsi="楷体_GB2312" w:eastAsia="楷体_GB2312" w:cs="楷体_GB2312"/>
          <w:b/>
          <w:color w:val="auto"/>
          <w:kern w:val="2"/>
          <w:sz w:val="32"/>
          <w:szCs w:val="24"/>
          <w:highlight w:val="none"/>
          <w:lang w:val="en-US" w:eastAsia="zh-CN" w:bidi="ar-SA"/>
        </w:rPr>
      </w:pPr>
      <w:bookmarkStart w:id="2119" w:name="_Toc31499"/>
      <w:bookmarkStart w:id="2120" w:name="_Toc308998007"/>
      <w:bookmarkStart w:id="2121" w:name="_Toc16103"/>
      <w:bookmarkStart w:id="2122" w:name="_Toc20689"/>
      <w:r>
        <w:rPr>
          <w:rFonts w:hint="eastAsia" w:ascii="楷体_GB2312" w:hAnsi="楷体_GB2312" w:eastAsia="楷体_GB2312" w:cs="楷体_GB2312"/>
          <w:b/>
          <w:color w:val="auto"/>
          <w:kern w:val="2"/>
          <w:sz w:val="32"/>
          <w:szCs w:val="24"/>
          <w:highlight w:val="none"/>
          <w:lang w:val="en-US" w:eastAsia="zh-CN" w:bidi="ar-SA"/>
        </w:rPr>
        <w:t xml:space="preserve">第二十一条  </w:t>
      </w:r>
      <w:r>
        <w:rPr>
          <w:rFonts w:hint="eastAsia" w:ascii="楷体_GB2312" w:hAnsi="楷体_GB2312" w:eastAsia="楷体_GB2312" w:cs="楷体_GB2312"/>
          <w:b/>
          <w:color w:val="auto"/>
          <w:kern w:val="2"/>
          <w:sz w:val="32"/>
          <w:szCs w:val="24"/>
          <w:highlight w:val="none"/>
          <w:lang w:val="en-US" w:eastAsia="zh-CN" w:bidi="ar-SA"/>
        </w:rPr>
        <w:fldChar w:fldCharType="begin"/>
      </w:r>
      <w:r>
        <w:rPr>
          <w:rFonts w:hint="eastAsia" w:ascii="楷体_GB2312" w:hAnsi="楷体_GB2312" w:eastAsia="楷体_GB2312" w:cs="楷体_GB2312"/>
          <w:b/>
          <w:color w:val="auto"/>
          <w:kern w:val="2"/>
          <w:sz w:val="32"/>
          <w:szCs w:val="24"/>
          <w:highlight w:val="none"/>
          <w:lang w:val="en-US" w:eastAsia="zh-CN" w:bidi="ar-SA"/>
        </w:rPr>
        <w:instrText xml:space="preserve"> HYPERLINK \l "_Toc11675" </w:instrText>
      </w:r>
      <w:r>
        <w:rPr>
          <w:rFonts w:hint="eastAsia" w:ascii="楷体_GB2312" w:hAnsi="楷体_GB2312" w:eastAsia="楷体_GB2312" w:cs="楷体_GB2312"/>
          <w:b/>
          <w:color w:val="auto"/>
          <w:kern w:val="2"/>
          <w:sz w:val="32"/>
          <w:szCs w:val="24"/>
          <w:highlight w:val="none"/>
          <w:lang w:val="en-US" w:eastAsia="zh-CN" w:bidi="ar-SA"/>
        </w:rPr>
        <w:fldChar w:fldCharType="separate"/>
      </w:r>
      <w:r>
        <w:rPr>
          <w:rFonts w:hint="eastAsia" w:ascii="楷体_GB2312" w:hAnsi="楷体_GB2312" w:eastAsia="楷体_GB2312" w:cs="楷体_GB2312"/>
          <w:b/>
          <w:color w:val="auto"/>
          <w:kern w:val="2"/>
          <w:sz w:val="32"/>
          <w:szCs w:val="24"/>
          <w:highlight w:val="none"/>
          <w:lang w:val="en-US" w:eastAsia="zh-CN" w:bidi="ar-SA"/>
        </w:rPr>
        <w:t>支持出</w:t>
      </w:r>
      <w:r>
        <w:rPr>
          <w:rFonts w:hint="eastAsia" w:ascii="楷体_GB2312" w:hAnsi="楷体_GB2312" w:eastAsia="楷体_GB2312" w:cs="楷体_GB2312"/>
          <w:b/>
          <w:color w:val="auto"/>
          <w:kern w:val="2"/>
          <w:sz w:val="32"/>
          <w:szCs w:val="24"/>
          <w:highlight w:val="none"/>
          <w:lang w:val="en-US" w:eastAsia="zh-CN" w:bidi="ar-SA"/>
        </w:rPr>
        <w:fldChar w:fldCharType="end"/>
      </w:r>
      <w:r>
        <w:rPr>
          <w:rFonts w:hint="eastAsia" w:ascii="楷体_GB2312" w:hAnsi="楷体_GB2312" w:eastAsia="楷体_GB2312" w:cs="楷体_GB2312"/>
          <w:b/>
          <w:color w:val="auto"/>
          <w:kern w:val="2"/>
          <w:sz w:val="32"/>
          <w:szCs w:val="24"/>
          <w:highlight w:val="none"/>
          <w:lang w:val="en-US" w:eastAsia="zh-CN" w:bidi="ar-SA"/>
        </w:rPr>
        <w:t>口企业融资</w:t>
      </w:r>
      <w:bookmarkEnd w:id="2119"/>
      <w:bookmarkEnd w:id="2120"/>
      <w:bookmarkEnd w:id="2121"/>
      <w:bookmarkEnd w:id="2122"/>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（一）对符合南山区产业发展方向的中小微出口企业获得的以出口退税应收款作为还款保证的短期流动资金贷款给予贴息扶持，</w:t>
      </w:r>
      <w:r>
        <w:rPr>
          <w:rFonts w:hint="eastAsia" w:ascii="仿宋_GB2312" w:hAnsi="仿宋_GB2312" w:eastAsia="仿宋_GB2312" w:cs="仿宋_GB2312"/>
          <w:color w:val="auto"/>
          <w:kern w:val="2"/>
          <w:sz w:val="32"/>
          <w:szCs w:val="32"/>
          <w:highlight w:val="none"/>
          <w:lang w:val="en-US" w:eastAsia="zh-CN" w:bidi="ar-SA"/>
        </w:rPr>
        <w:t>在其贷款项目结清后，最高按实际支付利息50%的比例给予贴息扶持，每家企业每年贴息总额最高20万元。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（二）对符合南山区产业发展方向的中小微出口企业出口信用证项下贴现业务的手续费给予补贴扶持，在其项目结清后，最高按实际支付50%的比例给予补贴扶持，每家企业每年扶持总额最高20万元。</w:t>
      </w:r>
    </w:p>
    <w:p>
      <w:pPr>
        <w:pStyle w:val="3"/>
        <w:keepNext w:val="0"/>
        <w:keepLines w:val="0"/>
        <w:pageBreakBefore w:val="0"/>
        <w:widowControl w:val="0"/>
        <w:kinsoku/>
        <w:wordWrap/>
        <w:topLinePunct w:val="0"/>
        <w:autoSpaceDE/>
        <w:autoSpaceDN/>
        <w:bidi w:val="0"/>
        <w:spacing w:before="0" w:beforeLines="0" w:beforeAutospacing="0" w:after="0" w:afterLines="0" w:afterAutospacing="0" w:line="560" w:lineRule="exact"/>
        <w:ind w:left="0" w:leftChars="0" w:firstLine="643" w:firstLineChars="200"/>
        <w:jc w:val="both"/>
        <w:textAlignment w:val="auto"/>
        <w:outlineLvl w:val="1"/>
        <w:rPr>
          <w:rFonts w:hint="eastAsia" w:ascii="楷体_GB2312" w:hAnsi="楷体_GB2312" w:eastAsia="楷体_GB2312" w:cs="楷体_GB2312"/>
          <w:b/>
          <w:color w:val="auto"/>
          <w:kern w:val="2"/>
          <w:sz w:val="32"/>
          <w:szCs w:val="24"/>
          <w:highlight w:val="none"/>
          <w:lang w:val="en-US" w:eastAsia="zh-CN" w:bidi="ar-SA"/>
        </w:rPr>
      </w:pPr>
      <w:bookmarkStart w:id="2123" w:name="_Toc205803658"/>
      <w:bookmarkStart w:id="2124" w:name="_Toc12538"/>
      <w:bookmarkStart w:id="2125" w:name="_Toc18459"/>
      <w:bookmarkStart w:id="2126" w:name="_Toc23599"/>
      <w:bookmarkStart w:id="2127" w:name="_Toc27816"/>
      <w:r>
        <w:rPr>
          <w:rFonts w:hint="eastAsia" w:ascii="楷体_GB2312" w:hAnsi="楷体_GB2312" w:eastAsia="楷体_GB2312" w:cs="楷体_GB2312"/>
          <w:b/>
          <w:color w:val="auto"/>
          <w:kern w:val="2"/>
          <w:sz w:val="32"/>
          <w:szCs w:val="24"/>
          <w:highlight w:val="none"/>
          <w:lang w:val="en-US" w:eastAsia="zh-CN" w:bidi="ar-SA"/>
        </w:rPr>
        <w:t>第二十二条  支持企业绿色发展</w:t>
      </w:r>
      <w:bookmarkEnd w:id="2123"/>
      <w:bookmarkEnd w:id="2124"/>
      <w:bookmarkEnd w:id="2125"/>
      <w:bookmarkEnd w:id="2126"/>
      <w:bookmarkEnd w:id="2127"/>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对南山区企业通过抵押排污权、碳配额、国家核证自愿减排量（CCER）获得的银行贷款，按其实际发生贷款金额的50%给予贴息，贴息期限3年。企业可就多个贷款合同申请贴息，单个企业每年最高100万元，以自然年作为计算标准。</w:t>
      </w:r>
    </w:p>
    <w:p>
      <w:pPr>
        <w:pStyle w:val="3"/>
        <w:keepNext w:val="0"/>
        <w:keepLines w:val="0"/>
        <w:pageBreakBefore w:val="0"/>
        <w:widowControl w:val="0"/>
        <w:kinsoku/>
        <w:wordWrap/>
        <w:topLinePunct w:val="0"/>
        <w:autoSpaceDE/>
        <w:autoSpaceDN/>
        <w:bidi w:val="0"/>
        <w:spacing w:before="0" w:beforeLines="0" w:beforeAutospacing="0" w:after="0" w:afterLines="0" w:afterAutospacing="0" w:line="560" w:lineRule="exact"/>
        <w:ind w:left="0" w:leftChars="0" w:firstLine="643" w:firstLineChars="200"/>
        <w:jc w:val="both"/>
        <w:textAlignment w:val="auto"/>
        <w:outlineLvl w:val="1"/>
        <w:rPr>
          <w:rFonts w:hint="eastAsia" w:ascii="楷体_GB2312" w:hAnsi="楷体_GB2312" w:eastAsia="楷体_GB2312" w:cs="楷体_GB2312"/>
          <w:b/>
          <w:kern w:val="2"/>
          <w:sz w:val="32"/>
          <w:szCs w:val="24"/>
          <w:highlight w:val="none"/>
          <w:lang w:val="en-US" w:eastAsia="zh-CN" w:bidi="ar-SA"/>
        </w:rPr>
      </w:pPr>
      <w:bookmarkStart w:id="2128" w:name="_Toc259"/>
      <w:bookmarkStart w:id="2129" w:name="_Toc18839"/>
      <w:bookmarkStart w:id="2130" w:name="_Toc114617155"/>
      <w:bookmarkStart w:id="2131" w:name="_Toc14031"/>
      <w:r>
        <w:rPr>
          <w:rFonts w:hint="eastAsia" w:ascii="楷体_GB2312" w:hAnsi="楷体_GB2312" w:eastAsia="楷体_GB2312" w:cs="楷体_GB2312"/>
          <w:b/>
          <w:color w:val="auto"/>
          <w:kern w:val="2"/>
          <w:sz w:val="32"/>
          <w:szCs w:val="24"/>
          <w:highlight w:val="none"/>
          <w:lang w:val="en-US" w:eastAsia="zh-CN" w:bidi="ar-SA"/>
        </w:rPr>
        <w:t>第二十三条  支持人才创新创业</w:t>
      </w:r>
      <w:bookmarkEnd w:id="2128"/>
      <w:bookmarkEnd w:id="2129"/>
      <w:bookmarkEnd w:id="2130"/>
      <w:bookmarkEnd w:id="2131"/>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对获得各级政府认定的高层次人才作为实际控制人、法人、股东的初创期小微企业获得的信用、股权质押贷款给予最高50%的贴息支持，每家企业每年最高资助100万元。</w:t>
      </w:r>
    </w:p>
    <w:p>
      <w:pPr>
        <w:pStyle w:val="3"/>
        <w:keepNext w:val="0"/>
        <w:keepLines w:val="0"/>
        <w:pageBreakBefore w:val="0"/>
        <w:widowControl w:val="0"/>
        <w:kinsoku/>
        <w:wordWrap/>
        <w:topLinePunct w:val="0"/>
        <w:autoSpaceDE/>
        <w:autoSpaceDN/>
        <w:bidi w:val="0"/>
        <w:spacing w:before="0" w:beforeLines="0" w:beforeAutospacing="0" w:after="0" w:afterLines="0" w:afterAutospacing="0" w:line="560" w:lineRule="exact"/>
        <w:ind w:left="0" w:leftChars="0" w:firstLine="643" w:firstLineChars="200"/>
        <w:jc w:val="both"/>
        <w:textAlignment w:val="auto"/>
        <w:outlineLvl w:val="1"/>
        <w:rPr>
          <w:rFonts w:hint="eastAsia" w:ascii="楷体_GB2312" w:hAnsi="楷体_GB2312" w:eastAsia="楷体_GB2312" w:cs="楷体_GB2312"/>
          <w:b/>
          <w:kern w:val="2"/>
          <w:sz w:val="32"/>
          <w:szCs w:val="24"/>
          <w:highlight w:val="none"/>
          <w:lang w:val="en-US" w:eastAsia="zh-CN" w:bidi="ar-SA"/>
        </w:rPr>
      </w:pPr>
      <w:bookmarkStart w:id="2132" w:name="_Toc14133"/>
      <w:bookmarkStart w:id="2133" w:name="_Toc27508"/>
      <w:bookmarkStart w:id="2134" w:name="_Toc19662"/>
      <w:bookmarkStart w:id="2135" w:name="_Toc119878184"/>
      <w:r>
        <w:rPr>
          <w:rFonts w:hint="eastAsia" w:ascii="楷体_GB2312" w:hAnsi="楷体_GB2312" w:eastAsia="楷体_GB2312" w:cs="楷体_GB2312"/>
          <w:b/>
          <w:color w:val="auto"/>
          <w:kern w:val="2"/>
          <w:sz w:val="32"/>
          <w:szCs w:val="24"/>
          <w:highlight w:val="none"/>
          <w:lang w:val="en-US" w:eastAsia="zh-CN" w:bidi="ar-SA"/>
        </w:rPr>
        <w:t>第二十四条  支持企业外部增信</w:t>
      </w:r>
      <w:bookmarkEnd w:id="2132"/>
      <w:bookmarkEnd w:id="2133"/>
      <w:bookmarkEnd w:id="2134"/>
      <w:bookmarkEnd w:id="2135"/>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对符合南山区产业发展方向中小微企业通过非国有融资担保机构担保、履约保证保险获得银行贷款的，按实际支付担保、履约保证保险费用最高50%给予资助，每家企业不超过20万元。</w:t>
      </w:r>
    </w:p>
    <w:p>
      <w:pPr>
        <w:pStyle w:val="3"/>
        <w:keepNext w:val="0"/>
        <w:keepLines w:val="0"/>
        <w:pageBreakBefore w:val="0"/>
        <w:widowControl w:val="0"/>
        <w:kinsoku/>
        <w:wordWrap/>
        <w:topLinePunct w:val="0"/>
        <w:autoSpaceDE/>
        <w:autoSpaceDN/>
        <w:bidi w:val="0"/>
        <w:spacing w:before="0" w:beforeLines="0" w:beforeAutospacing="0" w:after="0" w:afterLines="0" w:afterAutospacing="0" w:line="560" w:lineRule="exact"/>
        <w:ind w:left="0" w:leftChars="0" w:firstLine="643" w:firstLineChars="200"/>
        <w:jc w:val="both"/>
        <w:textAlignment w:val="auto"/>
        <w:outlineLvl w:val="1"/>
        <w:rPr>
          <w:rFonts w:hint="eastAsia" w:ascii="楷体_GB2312" w:hAnsi="楷体_GB2312" w:eastAsia="楷体_GB2312" w:cs="楷体_GB2312"/>
          <w:b/>
          <w:color w:val="auto"/>
          <w:kern w:val="2"/>
          <w:sz w:val="32"/>
          <w:szCs w:val="24"/>
          <w:highlight w:val="none"/>
          <w:lang w:val="en-US" w:eastAsia="zh-CN" w:bidi="ar-SA"/>
        </w:rPr>
      </w:pPr>
      <w:bookmarkStart w:id="2136" w:name="_Toc10210"/>
      <w:bookmarkStart w:id="2137" w:name="_Toc12790"/>
      <w:bookmarkStart w:id="2138" w:name="_Toc29377"/>
      <w:bookmarkStart w:id="2139" w:name="_Toc28215"/>
      <w:bookmarkStart w:id="2140" w:name="_Toc529822233"/>
      <w:r>
        <w:rPr>
          <w:rFonts w:hint="eastAsia" w:ascii="楷体_GB2312" w:hAnsi="楷体_GB2312" w:eastAsia="楷体_GB2312" w:cs="楷体_GB2312"/>
          <w:b/>
          <w:color w:val="auto"/>
          <w:kern w:val="2"/>
          <w:sz w:val="32"/>
          <w:szCs w:val="24"/>
          <w:highlight w:val="none"/>
          <w:lang w:val="en-US" w:eastAsia="zh-CN" w:bidi="ar-SA"/>
        </w:rPr>
        <w:t>第二十五条  成熟期企业并购支持</w:t>
      </w:r>
      <w:bookmarkEnd w:id="2136"/>
      <w:bookmarkEnd w:id="2137"/>
      <w:bookmarkEnd w:id="2138"/>
      <w:bookmarkEnd w:id="2139"/>
      <w:bookmarkEnd w:id="2140"/>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kern w:val="2"/>
          <w:sz w:val="32"/>
          <w:szCs w:val="40"/>
          <w:highlight w:val="none"/>
          <w:lang w:val="en-US" w:eastAsia="zh-CN" w:bidi="ar-SA"/>
        </w:rPr>
      </w:pPr>
      <w:r>
        <w:rPr>
          <w:rFonts w:hint="eastAsia" w:ascii="仿宋_GB2312" w:hAnsi="仿宋_GB2312" w:eastAsia="仿宋_GB2312" w:cs="仿宋_GB2312"/>
          <w:kern w:val="2"/>
          <w:sz w:val="32"/>
          <w:szCs w:val="40"/>
          <w:highlight w:val="none"/>
          <w:lang w:val="en-US" w:eastAsia="zh-CN" w:bidi="ar-SA"/>
        </w:rPr>
        <w:t>支持企业开展并购，并购对象符合南山区产业发展方向且成功引进本区的，按并购金额的5‰给予资助，每家企业每年最高资助100万元。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outlineLvl w:val="0"/>
        <w:rPr>
          <w:rFonts w:hint="eastAsia" w:ascii="Calibri" w:hAnsi="Calibri" w:eastAsia="黑体" w:cs="Times New Roman"/>
          <w:color w:val="auto"/>
          <w:kern w:val="44"/>
          <w:sz w:val="32"/>
          <w:szCs w:val="32"/>
          <w:highlight w:val="none"/>
          <w:lang w:val="en-US" w:eastAsia="zh-CN" w:bidi="ar-SA"/>
        </w:rPr>
      </w:pPr>
      <w:bookmarkStart w:id="2141" w:name="_Toc17443"/>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left="0" w:leftChars="0" w:firstLine="0" w:firstLineChars="0"/>
        <w:jc w:val="center"/>
        <w:textAlignment w:val="auto"/>
        <w:outlineLvl w:val="0"/>
        <w:rPr>
          <w:rFonts w:hint="eastAsia" w:eastAsia="黑体" w:asciiTheme="minorHAnsi" w:hAnsiTheme="minorHAnsi" w:cstheme="minorBidi"/>
          <w:color w:val="auto"/>
          <w:kern w:val="44"/>
          <w:sz w:val="32"/>
          <w:szCs w:val="24"/>
          <w:highlight w:val="none"/>
          <w:lang w:val="en-US" w:eastAsia="zh-CN" w:bidi="ar-SA"/>
        </w:rPr>
      </w:pPr>
      <w:bookmarkStart w:id="2142" w:name="_Toc19601"/>
      <w:bookmarkStart w:id="2143" w:name="_Toc1482966715"/>
      <w:bookmarkStart w:id="2144" w:name="_Toc672"/>
      <w:r>
        <w:rPr>
          <w:rFonts w:hint="eastAsia" w:eastAsia="黑体" w:asciiTheme="minorHAnsi" w:hAnsiTheme="minorHAnsi" w:cstheme="minorBidi"/>
          <w:color w:val="auto"/>
          <w:kern w:val="44"/>
          <w:sz w:val="32"/>
          <w:szCs w:val="24"/>
          <w:highlight w:val="none"/>
          <w:lang w:val="en-US" w:eastAsia="zh-CN" w:bidi="ar-SA"/>
        </w:rPr>
        <w:fldChar w:fldCharType="begin"/>
      </w:r>
      <w:r>
        <w:rPr>
          <w:rFonts w:hint="eastAsia" w:eastAsia="黑体" w:asciiTheme="minorHAnsi" w:hAnsiTheme="minorHAnsi" w:cstheme="minorBidi"/>
          <w:color w:val="auto"/>
          <w:kern w:val="44"/>
          <w:sz w:val="32"/>
          <w:szCs w:val="24"/>
          <w:highlight w:val="none"/>
          <w:lang w:val="en-US" w:eastAsia="zh-CN" w:bidi="ar-SA"/>
        </w:rPr>
        <w:instrText xml:space="preserve"> HYPERLINK \l "_Toc2389" </w:instrText>
      </w:r>
      <w:r>
        <w:rPr>
          <w:rFonts w:hint="eastAsia" w:eastAsia="黑体" w:asciiTheme="minorHAnsi" w:hAnsiTheme="minorHAnsi" w:cstheme="minorBidi"/>
          <w:color w:val="auto"/>
          <w:kern w:val="44"/>
          <w:sz w:val="32"/>
          <w:szCs w:val="24"/>
          <w:highlight w:val="none"/>
          <w:lang w:val="en-US" w:eastAsia="zh-CN" w:bidi="ar-SA"/>
        </w:rPr>
        <w:fldChar w:fldCharType="separate"/>
      </w:r>
      <w:bookmarkStart w:id="2145" w:name="_Toc84849424"/>
      <w:r>
        <w:rPr>
          <w:rFonts w:hint="eastAsia" w:eastAsia="黑体" w:asciiTheme="minorHAnsi" w:hAnsiTheme="minorHAnsi" w:cstheme="minorBidi"/>
          <w:color w:val="auto"/>
          <w:kern w:val="44"/>
          <w:sz w:val="32"/>
          <w:szCs w:val="24"/>
          <w:highlight w:val="none"/>
          <w:lang w:val="en-US" w:eastAsia="zh-CN" w:bidi="ar-SA"/>
        </w:rPr>
        <w:t xml:space="preserve">第四章  </w:t>
      </w:r>
      <w:bookmarkEnd w:id="2145"/>
      <w:r>
        <w:rPr>
          <w:rFonts w:hint="eastAsia" w:eastAsia="黑体" w:asciiTheme="minorHAnsi" w:hAnsiTheme="minorHAnsi" w:cstheme="minorBidi"/>
          <w:color w:val="auto"/>
          <w:kern w:val="44"/>
          <w:sz w:val="32"/>
          <w:szCs w:val="24"/>
          <w:highlight w:val="none"/>
          <w:lang w:val="en-US" w:eastAsia="zh-CN" w:bidi="ar-SA"/>
        </w:rPr>
        <w:fldChar w:fldCharType="end"/>
      </w:r>
      <w:bookmarkEnd w:id="2141"/>
      <w:r>
        <w:rPr>
          <w:rFonts w:hint="eastAsia" w:eastAsia="黑体" w:asciiTheme="minorHAnsi" w:hAnsiTheme="minorHAnsi" w:cstheme="minorBidi"/>
          <w:color w:val="auto"/>
          <w:kern w:val="44"/>
          <w:sz w:val="32"/>
          <w:szCs w:val="24"/>
          <w:highlight w:val="none"/>
          <w:lang w:val="en-US" w:eastAsia="zh-CN" w:bidi="ar-SA"/>
        </w:rPr>
        <w:t>鼓励企业上市发展</w:t>
      </w:r>
      <w:bookmarkEnd w:id="2142"/>
      <w:bookmarkEnd w:id="2143"/>
      <w:bookmarkEnd w:id="2144"/>
    </w:p>
    <w:p>
      <w:pPr>
        <w:pStyle w:val="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jc w:val="both"/>
        <w:textAlignment w:val="auto"/>
        <w:outlineLvl w:val="1"/>
        <w:rPr>
          <w:rFonts w:hint="eastAsia" w:ascii="楷体_GB2312" w:hAnsi="楷体_GB2312" w:eastAsia="楷体_GB2312" w:cs="楷体_GB2312"/>
          <w:b/>
          <w:kern w:val="2"/>
          <w:sz w:val="32"/>
          <w:szCs w:val="24"/>
          <w:highlight w:val="none"/>
          <w:lang w:val="en-US" w:eastAsia="zh-CN" w:bidi="ar-SA"/>
        </w:rPr>
      </w:pPr>
      <w:bookmarkStart w:id="2146" w:name="_Toc6921"/>
      <w:bookmarkStart w:id="2147" w:name="_Toc20088"/>
      <w:bookmarkStart w:id="2148" w:name="_Toc1402980150"/>
      <w:bookmarkStart w:id="2149" w:name="_Toc11591"/>
      <w:bookmarkStart w:id="2150" w:name="_Toc5421"/>
    </w:p>
    <w:p>
      <w:pPr>
        <w:pStyle w:val="3"/>
        <w:keepNext w:val="0"/>
        <w:keepLines w:val="0"/>
        <w:pageBreakBefore w:val="0"/>
        <w:widowControl w:val="0"/>
        <w:kinsoku/>
        <w:wordWrap/>
        <w:topLinePunct w:val="0"/>
        <w:autoSpaceDE/>
        <w:autoSpaceDN/>
        <w:bidi w:val="0"/>
        <w:spacing w:before="0" w:beforeLines="0" w:beforeAutospacing="0" w:after="0" w:afterLines="0" w:afterAutospacing="0" w:line="560" w:lineRule="exact"/>
        <w:ind w:left="0" w:leftChars="0" w:firstLine="643" w:firstLineChars="200"/>
        <w:jc w:val="both"/>
        <w:textAlignment w:val="auto"/>
        <w:outlineLvl w:val="1"/>
        <w:rPr>
          <w:rFonts w:hint="eastAsia" w:ascii="楷体_GB2312" w:hAnsi="楷体_GB2312" w:eastAsia="楷体_GB2312" w:cs="楷体_GB2312"/>
          <w:b/>
          <w:color w:val="auto"/>
          <w:kern w:val="2"/>
          <w:sz w:val="32"/>
          <w:szCs w:val="24"/>
          <w:highlight w:val="none"/>
          <w:lang w:val="en-US" w:eastAsia="zh-CN" w:bidi="ar-SA"/>
        </w:rPr>
      </w:pPr>
      <w:r>
        <w:rPr>
          <w:rFonts w:hint="eastAsia" w:ascii="楷体_GB2312" w:hAnsi="楷体_GB2312" w:eastAsia="楷体_GB2312" w:cs="楷体_GB2312"/>
          <w:b/>
          <w:color w:val="auto"/>
          <w:kern w:val="2"/>
          <w:sz w:val="32"/>
          <w:szCs w:val="24"/>
          <w:highlight w:val="none"/>
          <w:lang w:val="en-US" w:eastAsia="zh-CN" w:bidi="ar-SA"/>
        </w:rPr>
        <w:t>第二十六条</w:t>
      </w:r>
      <w:r>
        <w:rPr>
          <w:rFonts w:hint="eastAsia" w:ascii="楷体_GB2312" w:hAnsi="楷体_GB2312" w:eastAsia="楷体_GB2312" w:cs="楷体_GB2312"/>
          <w:b/>
          <w:color w:val="auto"/>
          <w:kern w:val="2"/>
          <w:sz w:val="32"/>
          <w:szCs w:val="24"/>
          <w:highlight w:val="none"/>
          <w:lang w:val="en-US" w:eastAsia="zh-CN" w:bidi="ar-SA"/>
        </w:rPr>
        <w:fldChar w:fldCharType="begin"/>
      </w:r>
      <w:r>
        <w:rPr>
          <w:rFonts w:hint="eastAsia" w:ascii="楷体_GB2312" w:hAnsi="楷体_GB2312" w:eastAsia="楷体_GB2312" w:cs="楷体_GB2312"/>
          <w:b/>
          <w:color w:val="auto"/>
          <w:kern w:val="2"/>
          <w:sz w:val="32"/>
          <w:szCs w:val="24"/>
          <w:highlight w:val="none"/>
          <w:lang w:val="en-US" w:eastAsia="zh-CN" w:bidi="ar-SA"/>
        </w:rPr>
        <w:instrText xml:space="preserve"> HYPERLINK \l "_Toc16314" </w:instrText>
      </w:r>
      <w:r>
        <w:rPr>
          <w:rFonts w:hint="eastAsia" w:ascii="楷体_GB2312" w:hAnsi="楷体_GB2312" w:eastAsia="楷体_GB2312" w:cs="楷体_GB2312"/>
          <w:b/>
          <w:color w:val="auto"/>
          <w:kern w:val="2"/>
          <w:sz w:val="32"/>
          <w:szCs w:val="24"/>
          <w:highlight w:val="none"/>
          <w:lang w:val="en-US" w:eastAsia="zh-CN" w:bidi="ar-SA"/>
        </w:rPr>
        <w:fldChar w:fldCharType="separate"/>
      </w:r>
      <w:r>
        <w:rPr>
          <w:rFonts w:hint="eastAsia" w:ascii="楷体_GB2312" w:hAnsi="楷体_GB2312" w:eastAsia="楷体_GB2312" w:cs="楷体_GB2312"/>
          <w:b/>
          <w:color w:val="auto"/>
          <w:kern w:val="2"/>
          <w:sz w:val="32"/>
          <w:szCs w:val="24"/>
          <w:highlight w:val="none"/>
          <w:lang w:val="en-US" w:eastAsia="zh-CN" w:bidi="ar-SA"/>
        </w:rPr>
        <w:t xml:space="preserve">  支持优质企业上市</w:t>
      </w:r>
      <w:r>
        <w:rPr>
          <w:rFonts w:hint="eastAsia" w:ascii="楷体_GB2312" w:hAnsi="楷体_GB2312" w:eastAsia="楷体_GB2312" w:cs="楷体_GB2312"/>
          <w:b/>
          <w:color w:val="auto"/>
          <w:kern w:val="2"/>
          <w:sz w:val="32"/>
          <w:szCs w:val="24"/>
          <w:highlight w:val="none"/>
          <w:lang w:val="en-US" w:eastAsia="zh-CN" w:bidi="ar-SA"/>
        </w:rPr>
        <w:fldChar w:fldCharType="end"/>
      </w:r>
      <w:bookmarkEnd w:id="2146"/>
      <w:bookmarkEnd w:id="2147"/>
      <w:bookmarkEnd w:id="2148"/>
      <w:bookmarkEnd w:id="2149"/>
      <w:bookmarkEnd w:id="2150"/>
    </w:p>
    <w:p>
      <w:pPr>
        <w:keepNext w:val="0"/>
        <w:keepLines w:val="0"/>
        <w:pageBreakBefore w:val="0"/>
        <w:widowControl w:val="0"/>
        <w:kinsoku/>
        <w:wordWrap/>
        <w:topLinePunct w:val="0"/>
        <w:autoSpaceDE/>
        <w:autoSpaceDN/>
        <w:bidi w:val="0"/>
        <w:spacing w:beforeAutospacing="0" w:afterAutospacing="0" w:line="560" w:lineRule="exact"/>
        <w:ind w:left="0" w:leftChars="0" w:firstLine="643" w:firstLineChars="200"/>
        <w:jc w:val="both"/>
        <w:textAlignment w:val="auto"/>
        <w:rPr>
          <w:rFonts w:hint="eastAsia" w:ascii="仿宋_GB2312" w:hAnsi="Calibri" w:cs="Times New Roman"/>
          <w:b/>
          <w:color w:val="auto"/>
          <w:highlight w:val="none"/>
        </w:rPr>
      </w:pPr>
      <w:r>
        <w:rPr>
          <w:rFonts w:hint="eastAsia" w:ascii="仿宋_GB2312" w:hAnsi="Calibri" w:cs="Times New Roman"/>
          <w:b/>
          <w:color w:val="auto"/>
          <w:highlight w:val="none"/>
        </w:rPr>
        <w:t>（一）境内上市企业扶持</w:t>
      </w:r>
    </w:p>
    <w:p>
      <w:pPr>
        <w:keepNext w:val="0"/>
        <w:keepLines w:val="0"/>
        <w:pageBreakBefore w:val="0"/>
        <w:widowControl w:val="0"/>
        <w:kinsoku/>
        <w:wordWrap/>
        <w:topLinePunct w:val="0"/>
        <w:autoSpaceDE/>
        <w:autoSpaceDN/>
        <w:bidi w:val="0"/>
        <w:spacing w:beforeAutospacing="0" w:afterAutospacing="0" w:line="560" w:lineRule="exact"/>
        <w:ind w:left="0" w:leftChars="0" w:firstLine="640"/>
        <w:jc w:val="both"/>
        <w:textAlignment w:val="auto"/>
        <w:rPr>
          <w:rFonts w:hint="eastAsia"/>
          <w:color w:val="auto"/>
          <w:highlight w:val="none"/>
        </w:rPr>
      </w:pPr>
      <w:r>
        <w:rPr>
          <w:rFonts w:hint="eastAsia"/>
          <w:color w:val="auto"/>
          <w:highlight w:val="none"/>
        </w:rPr>
        <w:t>1.对计划在沪深交易所上市的企业，最高给予500万元奖励。其中，已完成股份制改造，最高给予60万元奖励；已完成上市辅导验收，并获上市申请受理的企业，最高给予240万元奖励；成功上市后，最高给予100万元奖励，若募集资金超过50%（含）以上</w:t>
      </w:r>
      <w:r>
        <w:rPr>
          <w:rFonts w:hint="eastAsia"/>
          <w:color w:val="auto"/>
          <w:highlight w:val="none"/>
          <w:lang w:eastAsia="zh-CN"/>
        </w:rPr>
        <w:t>用于</w:t>
      </w:r>
      <w:r>
        <w:rPr>
          <w:rFonts w:hint="eastAsia"/>
          <w:color w:val="auto"/>
          <w:highlight w:val="none"/>
        </w:rPr>
        <w:t>投资南山区的，再次给予最高100万元奖励。</w:t>
      </w:r>
    </w:p>
    <w:p>
      <w:pPr>
        <w:keepNext w:val="0"/>
        <w:keepLines w:val="0"/>
        <w:pageBreakBefore w:val="0"/>
        <w:widowControl w:val="0"/>
        <w:kinsoku/>
        <w:wordWrap/>
        <w:topLinePunct w:val="0"/>
        <w:autoSpaceDE/>
        <w:autoSpaceDN/>
        <w:bidi w:val="0"/>
        <w:spacing w:beforeAutospacing="0" w:afterAutospacing="0" w:line="560" w:lineRule="exact"/>
        <w:ind w:left="0" w:leftChars="0" w:firstLine="640"/>
        <w:jc w:val="both"/>
        <w:textAlignment w:val="auto"/>
        <w:rPr>
          <w:rFonts w:hint="eastAsia"/>
          <w:color w:val="auto"/>
          <w:highlight w:val="none"/>
        </w:rPr>
      </w:pPr>
      <w:r>
        <w:rPr>
          <w:rFonts w:hint="eastAsia"/>
          <w:color w:val="auto"/>
          <w:highlight w:val="none"/>
        </w:rPr>
        <w:t>2.对首次在“新三板”挂牌的企业给予最高60万元奖励，进入创新层且挂牌满一年再给予最高40万元奖励；计划在北交所上市，已完成上市辅导验收，并获上市申请受理的企业，最高给予200万元奖励；在北交所成功上市的企业，最高给予100万元奖励，若募集资金超过50%（含）以上用于投资南山区的，再次给予最高100万元奖励。</w:t>
      </w:r>
    </w:p>
    <w:p>
      <w:pPr>
        <w:keepNext w:val="0"/>
        <w:keepLines w:val="0"/>
        <w:pageBreakBefore w:val="0"/>
        <w:widowControl w:val="0"/>
        <w:kinsoku/>
        <w:wordWrap/>
        <w:topLinePunct w:val="0"/>
        <w:autoSpaceDE/>
        <w:autoSpaceDN/>
        <w:bidi w:val="0"/>
        <w:spacing w:beforeAutospacing="0" w:afterAutospacing="0" w:line="560" w:lineRule="exact"/>
        <w:ind w:left="0" w:leftChars="0" w:firstLine="643" w:firstLineChars="200"/>
        <w:jc w:val="both"/>
        <w:textAlignment w:val="auto"/>
        <w:rPr>
          <w:rFonts w:hint="eastAsia" w:ascii="仿宋_GB2312" w:hAnsi="Calibri" w:cs="Times New Roman"/>
          <w:b/>
          <w:color w:val="auto"/>
          <w:highlight w:val="none"/>
        </w:rPr>
      </w:pPr>
      <w:r>
        <w:rPr>
          <w:rFonts w:hint="eastAsia" w:ascii="仿宋_GB2312" w:hAnsi="Calibri" w:cs="Times New Roman"/>
          <w:b/>
          <w:color w:val="auto"/>
          <w:highlight w:val="none"/>
        </w:rPr>
        <w:t>（二）境外上市企业扶持</w:t>
      </w:r>
    </w:p>
    <w:p>
      <w:pPr>
        <w:keepNext w:val="0"/>
        <w:keepLines w:val="0"/>
        <w:pageBreakBefore w:val="0"/>
        <w:widowControl w:val="0"/>
        <w:kinsoku/>
        <w:wordWrap/>
        <w:topLinePunct w:val="0"/>
        <w:autoSpaceDE/>
        <w:autoSpaceDN/>
        <w:bidi w:val="0"/>
        <w:spacing w:beforeAutospacing="0" w:afterAutospacing="0" w:line="560" w:lineRule="exact"/>
        <w:ind w:left="0" w:leftChars="0" w:firstLine="640"/>
        <w:jc w:val="both"/>
        <w:textAlignment w:val="auto"/>
        <w:rPr>
          <w:rFonts w:hint="eastAsia"/>
          <w:color w:val="auto"/>
          <w:highlight w:val="none"/>
        </w:rPr>
      </w:pPr>
      <w:r>
        <w:rPr>
          <w:rFonts w:hint="eastAsia"/>
          <w:color w:val="auto"/>
          <w:highlight w:val="none"/>
        </w:rPr>
        <w:t>对直接在境外证券交易所成功上市的企业，最高给予400万元奖励；通过红筹、协议控制等间接方式在境外证券交易所成功上市的企业，最高给予300万元奖励</w:t>
      </w:r>
      <w:r>
        <w:rPr>
          <w:rFonts w:hint="eastAsia"/>
          <w:color w:val="auto"/>
          <w:highlight w:val="none"/>
          <w:lang w:eastAsia="zh-CN"/>
        </w:rPr>
        <w:t>。</w:t>
      </w:r>
      <w:r>
        <w:rPr>
          <w:rFonts w:hint="eastAsia"/>
          <w:color w:val="auto"/>
          <w:highlight w:val="none"/>
        </w:rPr>
        <w:t>若募集资金超过50%（含）以上</w:t>
      </w:r>
      <w:r>
        <w:rPr>
          <w:rFonts w:hint="eastAsia"/>
          <w:color w:val="auto"/>
          <w:highlight w:val="none"/>
          <w:lang w:eastAsia="zh-CN"/>
        </w:rPr>
        <w:t>用于</w:t>
      </w:r>
      <w:r>
        <w:rPr>
          <w:rFonts w:hint="eastAsia"/>
          <w:color w:val="auto"/>
          <w:highlight w:val="none"/>
        </w:rPr>
        <w:t>投资南山区的，再次给予最高100万元奖励。</w:t>
      </w:r>
    </w:p>
    <w:p>
      <w:pPr>
        <w:keepNext w:val="0"/>
        <w:keepLines w:val="0"/>
        <w:pageBreakBefore w:val="0"/>
        <w:widowControl w:val="0"/>
        <w:kinsoku/>
        <w:wordWrap/>
        <w:topLinePunct w:val="0"/>
        <w:autoSpaceDE/>
        <w:autoSpaceDN/>
        <w:bidi w:val="0"/>
        <w:spacing w:beforeAutospacing="0" w:afterAutospacing="0" w:line="560" w:lineRule="exact"/>
        <w:ind w:left="0" w:leftChars="0" w:firstLine="640"/>
        <w:jc w:val="both"/>
        <w:textAlignment w:val="auto"/>
        <w:rPr>
          <w:rFonts w:hint="eastAsia" w:eastAsia="仿宋_GB2312"/>
          <w:color w:val="auto"/>
          <w:highlight w:val="none"/>
          <w:lang w:eastAsia="zh-CN"/>
        </w:rPr>
      </w:pPr>
      <w:r>
        <w:rPr>
          <w:rFonts w:hint="eastAsia"/>
          <w:color w:val="auto"/>
          <w:highlight w:val="none"/>
        </w:rPr>
        <w:t>此项目资金可用于企业经营发展、公司高管及骨干团队激励</w:t>
      </w:r>
      <w:r>
        <w:rPr>
          <w:rFonts w:hint="eastAsia"/>
          <w:color w:val="auto"/>
          <w:highlight w:val="none"/>
          <w:lang w:eastAsia="zh-CN"/>
        </w:rPr>
        <w:t>。</w:t>
      </w:r>
    </w:p>
    <w:p>
      <w:pPr>
        <w:pStyle w:val="3"/>
        <w:keepNext w:val="0"/>
        <w:keepLines w:val="0"/>
        <w:pageBreakBefore w:val="0"/>
        <w:widowControl w:val="0"/>
        <w:kinsoku/>
        <w:wordWrap/>
        <w:topLinePunct w:val="0"/>
        <w:autoSpaceDE/>
        <w:autoSpaceDN/>
        <w:bidi w:val="0"/>
        <w:spacing w:before="0" w:beforeLines="0" w:beforeAutospacing="0" w:after="0" w:afterLines="0" w:afterAutospacing="0" w:line="560" w:lineRule="exact"/>
        <w:ind w:left="0" w:leftChars="0" w:firstLine="643" w:firstLineChars="200"/>
        <w:jc w:val="both"/>
        <w:textAlignment w:val="auto"/>
        <w:outlineLvl w:val="1"/>
        <w:rPr>
          <w:rFonts w:hint="eastAsia" w:ascii="楷体_GB2312" w:hAnsi="楷体_GB2312" w:eastAsia="楷体_GB2312" w:cs="楷体_GB2312"/>
          <w:b/>
          <w:color w:val="auto"/>
          <w:kern w:val="2"/>
          <w:sz w:val="32"/>
          <w:szCs w:val="24"/>
          <w:highlight w:val="none"/>
          <w:lang w:val="en-US" w:eastAsia="zh-CN" w:bidi="ar-SA"/>
        </w:rPr>
      </w:pPr>
      <w:bookmarkStart w:id="2151" w:name="_Toc7212"/>
      <w:bookmarkStart w:id="2152" w:name="_Toc25974"/>
      <w:bookmarkStart w:id="2153" w:name="_Toc286"/>
      <w:bookmarkStart w:id="2154" w:name="_Toc1117639351"/>
      <w:bookmarkStart w:id="2155" w:name="_Toc23224"/>
      <w:r>
        <w:rPr>
          <w:rFonts w:hint="eastAsia" w:ascii="楷体_GB2312" w:hAnsi="楷体_GB2312" w:eastAsia="楷体_GB2312" w:cs="楷体_GB2312"/>
          <w:b/>
          <w:color w:val="auto"/>
          <w:kern w:val="2"/>
          <w:sz w:val="32"/>
          <w:szCs w:val="24"/>
          <w:highlight w:val="none"/>
          <w:lang w:val="en-US" w:eastAsia="zh-CN" w:bidi="ar-SA"/>
        </w:rPr>
        <w:t>第二十七条  上市辅导费用支持</w:t>
      </w:r>
      <w:bookmarkEnd w:id="2151"/>
      <w:bookmarkEnd w:id="2152"/>
      <w:bookmarkEnd w:id="2153"/>
      <w:bookmarkEnd w:id="2154"/>
      <w:bookmarkEnd w:id="2155"/>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经证监部门辅导备案登记后，对完成公开发行之前支付的会计审计费、资产评估费、法律服务费、券商</w:t>
      </w:r>
      <w:r>
        <w:rPr>
          <w:rFonts w:hint="eastAsia" w:ascii="仿宋_GB2312" w:hAnsi="仿宋_GB2312" w:cs="仿宋_GB2312"/>
          <w:color w:val="auto"/>
          <w:sz w:val="32"/>
          <w:szCs w:val="32"/>
          <w:highlight w:val="none"/>
          <w:lang w:val="en-US" w:eastAsia="zh-CN"/>
        </w:rPr>
        <w:t>辅导保荐</w:t>
      </w:r>
      <w:r>
        <w:rPr>
          <w:rFonts w:hint="eastAsia" w:ascii="仿宋_GB2312" w:hAnsi="仿宋_GB2312" w:eastAsia="仿宋_GB2312" w:cs="仿宋_GB2312"/>
          <w:color w:val="auto"/>
          <w:sz w:val="32"/>
          <w:szCs w:val="32"/>
          <w:highlight w:val="none"/>
          <w:lang w:val="en-US" w:eastAsia="zh-CN"/>
        </w:rPr>
        <w:t>费等中介费用，按上年度不超过实际发生费用的50%给予补助，每家企业资助资金不超过100万元，资助期最高3年。</w:t>
      </w:r>
    </w:p>
    <w:p>
      <w:pPr>
        <w:pStyle w:val="3"/>
        <w:keepNext w:val="0"/>
        <w:keepLines w:val="0"/>
        <w:pageBreakBefore w:val="0"/>
        <w:widowControl w:val="0"/>
        <w:kinsoku/>
        <w:wordWrap/>
        <w:topLinePunct w:val="0"/>
        <w:autoSpaceDE/>
        <w:autoSpaceDN/>
        <w:bidi w:val="0"/>
        <w:spacing w:before="0" w:beforeLines="0" w:beforeAutospacing="0" w:after="0" w:afterLines="0" w:afterAutospacing="0" w:line="560" w:lineRule="exact"/>
        <w:ind w:left="0" w:leftChars="0" w:firstLine="643" w:firstLineChars="200"/>
        <w:jc w:val="both"/>
        <w:textAlignment w:val="auto"/>
        <w:outlineLvl w:val="1"/>
        <w:rPr>
          <w:rFonts w:hint="eastAsia" w:ascii="楷体_GB2312" w:hAnsi="楷体_GB2312" w:eastAsia="楷体_GB2312" w:cs="楷体_GB2312"/>
          <w:b/>
          <w:color w:val="auto"/>
          <w:kern w:val="2"/>
          <w:sz w:val="32"/>
          <w:szCs w:val="24"/>
          <w:highlight w:val="none"/>
          <w:lang w:val="en-US" w:eastAsia="zh-CN" w:bidi="ar-SA"/>
        </w:rPr>
      </w:pPr>
      <w:bookmarkStart w:id="2156" w:name="_Toc18584"/>
      <w:bookmarkStart w:id="2157" w:name="_Toc6710"/>
      <w:bookmarkStart w:id="2158" w:name="_Toc1267027095"/>
      <w:bookmarkStart w:id="2159" w:name="_Toc22963"/>
      <w:bookmarkStart w:id="2160" w:name="_Toc24921"/>
      <w:r>
        <w:rPr>
          <w:rFonts w:hint="eastAsia" w:ascii="楷体_GB2312" w:hAnsi="楷体_GB2312" w:eastAsia="楷体_GB2312" w:cs="楷体_GB2312"/>
          <w:b/>
          <w:color w:val="auto"/>
          <w:kern w:val="2"/>
          <w:sz w:val="32"/>
          <w:szCs w:val="24"/>
          <w:highlight w:val="none"/>
          <w:lang w:val="en-US" w:eastAsia="zh-CN" w:bidi="ar-SA"/>
        </w:rPr>
        <w:t>第二十八条  上市募投融资项目支持</w:t>
      </w:r>
      <w:bookmarkEnd w:id="2156"/>
      <w:bookmarkEnd w:id="2157"/>
      <w:bookmarkEnd w:id="2158"/>
      <w:bookmarkEnd w:id="2159"/>
      <w:bookmarkEnd w:id="2160"/>
    </w:p>
    <w:p>
      <w:pPr>
        <w:keepNext w:val="0"/>
        <w:keepLines w:val="0"/>
        <w:pageBreakBefore w:val="0"/>
        <w:widowControl w:val="0"/>
        <w:kinsoku/>
        <w:wordWrap/>
        <w:topLinePunct w:val="0"/>
        <w:autoSpaceDE/>
        <w:autoSpaceDN/>
        <w:bidi w:val="0"/>
        <w:spacing w:beforeAutospacing="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支持上市企业将其在资本市场上市首发融资项目与再融资项目在南山区实施，按投资额的2‰予以奖励，最高不超过</w:t>
      </w:r>
      <w:r>
        <w:rPr>
          <w:rFonts w:hint="eastAsia" w:ascii="仿宋_GB2312" w:hAnsi="仿宋_GB2312" w:cs="仿宋_GB2312"/>
          <w:color w:val="auto"/>
          <w:sz w:val="32"/>
          <w:szCs w:val="32"/>
          <w:highlight w:val="none"/>
          <w:lang w:val="en-US" w:eastAsia="zh-CN"/>
        </w:rPr>
        <w:t>1000</w:t>
      </w:r>
      <w:r>
        <w:rPr>
          <w:rFonts w:hint="eastAsia" w:ascii="仿宋_GB2312" w:hAnsi="仿宋_GB2312" w:eastAsia="仿宋_GB2312" w:cs="仿宋_GB2312"/>
          <w:color w:val="auto"/>
          <w:sz w:val="32"/>
          <w:szCs w:val="32"/>
          <w:highlight w:val="none"/>
          <w:lang w:eastAsia="zh-CN"/>
        </w:rPr>
        <w:t>万元。</w:t>
      </w:r>
    </w:p>
    <w:p>
      <w:pPr>
        <w:pStyle w:val="3"/>
        <w:keepNext w:val="0"/>
        <w:keepLines w:val="0"/>
        <w:pageBreakBefore w:val="0"/>
        <w:widowControl w:val="0"/>
        <w:kinsoku/>
        <w:wordWrap/>
        <w:topLinePunct w:val="0"/>
        <w:autoSpaceDE/>
        <w:autoSpaceDN/>
        <w:bidi w:val="0"/>
        <w:spacing w:before="0" w:beforeLines="0" w:beforeAutospacing="0" w:after="0" w:afterLines="0" w:afterAutospacing="0" w:line="560" w:lineRule="exact"/>
        <w:ind w:left="0" w:leftChars="0" w:firstLine="643" w:firstLineChars="200"/>
        <w:jc w:val="both"/>
        <w:textAlignment w:val="auto"/>
        <w:outlineLvl w:val="1"/>
        <w:rPr>
          <w:rFonts w:hint="eastAsia" w:ascii="楷体_GB2312" w:hAnsi="楷体_GB2312" w:eastAsia="楷体_GB2312" w:cs="楷体_GB2312"/>
          <w:b/>
          <w:color w:val="auto"/>
          <w:kern w:val="2"/>
          <w:sz w:val="32"/>
          <w:szCs w:val="24"/>
          <w:highlight w:val="none"/>
          <w:lang w:val="en-US" w:eastAsia="zh-CN" w:bidi="ar-SA"/>
        </w:rPr>
      </w:pPr>
      <w:bookmarkStart w:id="2161" w:name="_Toc340013413"/>
      <w:bookmarkStart w:id="2162" w:name="_Toc9516"/>
      <w:bookmarkStart w:id="2163" w:name="_Toc11678"/>
      <w:bookmarkStart w:id="2164" w:name="_Toc16513"/>
      <w:bookmarkStart w:id="2165" w:name="_Toc28801"/>
      <w:r>
        <w:rPr>
          <w:rFonts w:hint="eastAsia" w:ascii="楷体_GB2312" w:hAnsi="楷体_GB2312" w:eastAsia="楷体_GB2312" w:cs="楷体_GB2312"/>
          <w:b/>
          <w:color w:val="auto"/>
          <w:kern w:val="2"/>
          <w:sz w:val="32"/>
          <w:szCs w:val="24"/>
          <w:highlight w:val="none"/>
          <w:lang w:val="en-US" w:eastAsia="zh-CN" w:bidi="ar-SA"/>
        </w:rPr>
        <w:t>第二十九条</w:t>
      </w:r>
      <w:r>
        <w:rPr>
          <w:rFonts w:hint="eastAsia" w:ascii="楷体_GB2312" w:hAnsi="楷体_GB2312" w:eastAsia="楷体_GB2312" w:cs="楷体_GB2312"/>
          <w:b/>
          <w:color w:val="auto"/>
          <w:kern w:val="2"/>
          <w:sz w:val="32"/>
          <w:szCs w:val="24"/>
          <w:highlight w:val="none"/>
          <w:lang w:val="en-US" w:eastAsia="zh-CN" w:bidi="ar-SA"/>
        </w:rPr>
        <w:fldChar w:fldCharType="begin"/>
      </w:r>
      <w:r>
        <w:rPr>
          <w:rFonts w:hint="eastAsia" w:ascii="楷体_GB2312" w:hAnsi="楷体_GB2312" w:eastAsia="楷体_GB2312" w:cs="楷体_GB2312"/>
          <w:b/>
          <w:color w:val="auto"/>
          <w:kern w:val="2"/>
          <w:sz w:val="32"/>
          <w:szCs w:val="24"/>
          <w:highlight w:val="none"/>
          <w:lang w:val="en-US" w:eastAsia="zh-CN" w:bidi="ar-SA"/>
        </w:rPr>
        <w:instrText xml:space="preserve"> HYPERLINK \l "_Toc4059" </w:instrText>
      </w:r>
      <w:r>
        <w:rPr>
          <w:rFonts w:hint="eastAsia" w:ascii="楷体_GB2312" w:hAnsi="楷体_GB2312" w:eastAsia="楷体_GB2312" w:cs="楷体_GB2312"/>
          <w:b/>
          <w:color w:val="auto"/>
          <w:kern w:val="2"/>
          <w:sz w:val="32"/>
          <w:szCs w:val="24"/>
          <w:highlight w:val="none"/>
          <w:lang w:val="en-US" w:eastAsia="zh-CN" w:bidi="ar-SA"/>
        </w:rPr>
        <w:fldChar w:fldCharType="separate"/>
      </w:r>
      <w:r>
        <w:rPr>
          <w:rFonts w:hint="eastAsia" w:ascii="楷体_GB2312" w:hAnsi="楷体_GB2312" w:eastAsia="楷体_GB2312" w:cs="楷体_GB2312"/>
          <w:b/>
          <w:color w:val="auto"/>
          <w:kern w:val="2"/>
          <w:sz w:val="32"/>
          <w:szCs w:val="24"/>
          <w:highlight w:val="none"/>
          <w:lang w:val="en-US" w:eastAsia="zh-CN" w:bidi="ar-SA"/>
        </w:rPr>
        <w:t xml:space="preserve">  支持上市企业并购重组</w:t>
      </w:r>
      <w:r>
        <w:rPr>
          <w:rFonts w:hint="eastAsia" w:ascii="楷体_GB2312" w:hAnsi="楷体_GB2312" w:eastAsia="楷体_GB2312" w:cs="楷体_GB2312"/>
          <w:b/>
          <w:color w:val="auto"/>
          <w:kern w:val="2"/>
          <w:sz w:val="32"/>
          <w:szCs w:val="24"/>
          <w:highlight w:val="none"/>
          <w:lang w:val="en-US" w:eastAsia="zh-CN" w:bidi="ar-SA"/>
        </w:rPr>
        <w:fldChar w:fldCharType="end"/>
      </w:r>
      <w:bookmarkEnd w:id="2161"/>
      <w:bookmarkEnd w:id="2162"/>
      <w:bookmarkEnd w:id="2163"/>
      <w:bookmarkEnd w:id="2164"/>
      <w:bookmarkEnd w:id="2165"/>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支持上市企业开展并购重组。在完成并购重组后，将并购企业工商注册及税务登记从外地迁入我区的，</w:t>
      </w:r>
      <w:r>
        <w:rPr>
          <w:rFonts w:hint="eastAsia" w:ascii="仿宋_GB2312" w:hAnsi="仿宋_GB2312" w:eastAsia="仿宋_GB2312" w:cs="仿宋_GB2312"/>
          <w:color w:val="auto"/>
          <w:sz w:val="32"/>
          <w:szCs w:val="32"/>
          <w:highlight w:val="none"/>
          <w:lang w:val="en-US" w:eastAsia="zh-CN"/>
        </w:rPr>
        <w:t>给予上市公司奖励</w:t>
      </w:r>
      <w:r>
        <w:rPr>
          <w:rFonts w:hint="eastAsia" w:ascii="仿宋_GB2312" w:hAnsi="仿宋_GB2312" w:eastAsia="仿宋_GB2312" w:cs="仿宋_GB2312"/>
          <w:color w:val="auto"/>
          <w:sz w:val="32"/>
          <w:szCs w:val="32"/>
          <w:highlight w:val="none"/>
        </w:rPr>
        <w:t>并购金额在1亿元（含）以上，5亿元（含）以下项目奖励100万元；5亿元以上，10亿元（含）以下项目奖励200万元；10亿元以上项目奖励300万元。</w:t>
      </w:r>
    </w:p>
    <w:p>
      <w:pPr>
        <w:pStyle w:val="3"/>
        <w:keepNext w:val="0"/>
        <w:keepLines w:val="0"/>
        <w:pageBreakBefore w:val="0"/>
        <w:widowControl w:val="0"/>
        <w:kinsoku/>
        <w:wordWrap/>
        <w:topLinePunct w:val="0"/>
        <w:autoSpaceDE/>
        <w:autoSpaceDN/>
        <w:bidi w:val="0"/>
        <w:spacing w:before="0" w:beforeLines="0" w:beforeAutospacing="0" w:after="0" w:afterLines="0" w:afterAutospacing="0" w:line="560" w:lineRule="exact"/>
        <w:ind w:left="0" w:leftChars="0" w:firstLine="643" w:firstLineChars="200"/>
        <w:jc w:val="both"/>
        <w:textAlignment w:val="auto"/>
        <w:outlineLvl w:val="1"/>
        <w:rPr>
          <w:rFonts w:hint="eastAsia" w:ascii="楷体_GB2312" w:hAnsi="楷体_GB2312" w:eastAsia="楷体_GB2312" w:cs="楷体_GB2312"/>
          <w:b/>
          <w:color w:val="auto"/>
          <w:kern w:val="2"/>
          <w:sz w:val="32"/>
          <w:szCs w:val="24"/>
          <w:highlight w:val="none"/>
          <w:lang w:val="en-US" w:eastAsia="zh-CN" w:bidi="ar-SA"/>
        </w:rPr>
      </w:pPr>
      <w:bookmarkStart w:id="2166" w:name="_Toc27758"/>
      <w:bookmarkStart w:id="2167" w:name="_Toc696"/>
      <w:bookmarkStart w:id="2168" w:name="_Toc7155"/>
      <w:bookmarkStart w:id="2169" w:name="_Toc8499"/>
      <w:bookmarkStart w:id="2170" w:name="_Toc17579"/>
      <w:bookmarkStart w:id="2171" w:name="_Toc2617"/>
      <w:bookmarkStart w:id="2172" w:name="_Toc23155"/>
      <w:bookmarkStart w:id="2173" w:name="_Toc8675"/>
      <w:bookmarkStart w:id="2174" w:name="_Toc2533"/>
      <w:bookmarkStart w:id="2175" w:name="_Toc90188184"/>
      <w:bookmarkStart w:id="2176" w:name="_Toc790084292"/>
      <w:bookmarkStart w:id="2177" w:name="_Toc1240612873"/>
      <w:bookmarkStart w:id="2178" w:name="_Toc138191926"/>
      <w:bookmarkStart w:id="2179" w:name="_Toc16284"/>
      <w:bookmarkStart w:id="2180" w:name="_Toc1720202411"/>
      <w:bookmarkStart w:id="2181" w:name="_Toc968"/>
      <w:bookmarkStart w:id="2182" w:name="_Toc2131872136"/>
      <w:bookmarkStart w:id="2183" w:name="_Toc10927"/>
      <w:r>
        <w:rPr>
          <w:rFonts w:hint="eastAsia" w:ascii="楷体_GB2312" w:hAnsi="楷体_GB2312" w:eastAsia="楷体_GB2312" w:cs="楷体_GB2312"/>
          <w:b/>
          <w:color w:val="auto"/>
          <w:kern w:val="2"/>
          <w:sz w:val="32"/>
          <w:szCs w:val="24"/>
          <w:highlight w:val="none"/>
          <w:lang w:val="en-US" w:eastAsia="zh-CN" w:bidi="ar-SA"/>
        </w:rPr>
        <w:t>第三十条  上市企业办公用房租赁</w:t>
      </w:r>
      <w:bookmarkEnd w:id="2166"/>
      <w:bookmarkEnd w:id="2167"/>
      <w:bookmarkEnd w:id="2168"/>
      <w:bookmarkEnd w:id="2169"/>
      <w:bookmarkEnd w:id="2170"/>
      <w:bookmarkEnd w:id="2171"/>
      <w:bookmarkEnd w:id="2172"/>
      <w:bookmarkEnd w:id="2173"/>
      <w:r>
        <w:rPr>
          <w:rFonts w:hint="eastAsia" w:ascii="楷体_GB2312" w:hAnsi="楷体_GB2312" w:eastAsia="楷体_GB2312" w:cs="楷体_GB2312"/>
          <w:b/>
          <w:color w:val="auto"/>
          <w:kern w:val="2"/>
          <w:sz w:val="32"/>
          <w:szCs w:val="24"/>
          <w:highlight w:val="none"/>
          <w:lang w:val="en-US" w:eastAsia="zh-CN" w:bidi="ar-SA"/>
        </w:rPr>
        <w:t>补贴</w:t>
      </w:r>
      <w:bookmarkEnd w:id="2174"/>
      <w:bookmarkEnd w:id="2175"/>
      <w:bookmarkEnd w:id="2176"/>
      <w:bookmarkEnd w:id="2177"/>
      <w:bookmarkEnd w:id="2178"/>
      <w:bookmarkEnd w:id="2179"/>
      <w:bookmarkEnd w:id="2180"/>
      <w:bookmarkEnd w:id="2181"/>
      <w:bookmarkEnd w:id="2182"/>
      <w:bookmarkEnd w:id="2183"/>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对经认定的上市企业在南山区租赁自用办公用房（不含南山区政策性产业用房）的，分5年给予最高1200万元房租补贴，其中前3年每年按实际支付租金的30%给予补贴，每年最高300万元；后2年每年按实际支付租金的15%给予补贴，每年最高150万元。</w:t>
      </w:r>
    </w:p>
    <w:p>
      <w:pPr>
        <w:pStyle w:val="3"/>
        <w:keepNext w:val="0"/>
        <w:keepLines w:val="0"/>
        <w:pageBreakBefore w:val="0"/>
        <w:widowControl w:val="0"/>
        <w:kinsoku/>
        <w:wordWrap/>
        <w:topLinePunct w:val="0"/>
        <w:autoSpaceDE/>
        <w:autoSpaceDN/>
        <w:bidi w:val="0"/>
        <w:spacing w:before="0" w:beforeLines="0" w:beforeAutospacing="0" w:after="0" w:afterLines="0" w:afterAutospacing="0" w:line="560" w:lineRule="exact"/>
        <w:ind w:left="0" w:leftChars="0" w:firstLine="643" w:firstLineChars="200"/>
        <w:jc w:val="both"/>
        <w:textAlignment w:val="auto"/>
        <w:outlineLvl w:val="1"/>
        <w:rPr>
          <w:rFonts w:hint="eastAsia" w:ascii="楷体_GB2312" w:hAnsi="楷体_GB2312" w:eastAsia="楷体_GB2312" w:cs="楷体_GB2312"/>
          <w:b/>
          <w:color w:val="auto"/>
          <w:kern w:val="2"/>
          <w:sz w:val="32"/>
          <w:szCs w:val="24"/>
          <w:highlight w:val="none"/>
          <w:lang w:val="en-US" w:eastAsia="zh-CN" w:bidi="ar-SA"/>
        </w:rPr>
      </w:pPr>
      <w:bookmarkStart w:id="2184" w:name="_Toc23969"/>
      <w:bookmarkStart w:id="2185" w:name="_Toc28483"/>
      <w:bookmarkStart w:id="2186" w:name="_Toc25662"/>
      <w:bookmarkStart w:id="2187" w:name="_Toc12672"/>
      <w:bookmarkStart w:id="2188" w:name="_Toc20109"/>
      <w:bookmarkStart w:id="2189" w:name="_Toc23270"/>
      <w:bookmarkStart w:id="2190" w:name="_Toc6063"/>
      <w:bookmarkStart w:id="2191" w:name="_Toc5639"/>
      <w:bookmarkStart w:id="2192" w:name="_Toc1284311346"/>
      <w:bookmarkStart w:id="2193" w:name="_Toc779512885"/>
      <w:bookmarkStart w:id="2194" w:name="_Toc8910"/>
      <w:bookmarkStart w:id="2195" w:name="_Toc5351"/>
      <w:bookmarkStart w:id="2196" w:name="_Toc931852768"/>
      <w:bookmarkStart w:id="2197" w:name="_Toc2006806949"/>
      <w:bookmarkStart w:id="2198" w:name="_Toc2000638352"/>
      <w:bookmarkStart w:id="2199" w:name="_Toc384837705"/>
      <w:bookmarkStart w:id="2200" w:name="_Toc3197"/>
      <w:r>
        <w:rPr>
          <w:rFonts w:hint="eastAsia" w:ascii="楷体_GB2312" w:hAnsi="楷体_GB2312" w:eastAsia="楷体_GB2312" w:cs="楷体_GB2312"/>
          <w:b/>
          <w:color w:val="auto"/>
          <w:kern w:val="2"/>
          <w:sz w:val="32"/>
          <w:szCs w:val="24"/>
          <w:highlight w:val="none"/>
          <w:lang w:val="en-US" w:eastAsia="zh-CN" w:bidi="ar-SA"/>
        </w:rPr>
        <w:t>第三十一条  上市企业办公用房购置</w:t>
      </w:r>
      <w:bookmarkEnd w:id="2184"/>
      <w:bookmarkEnd w:id="2185"/>
      <w:bookmarkEnd w:id="2186"/>
      <w:bookmarkEnd w:id="2187"/>
      <w:bookmarkEnd w:id="2188"/>
      <w:bookmarkEnd w:id="2189"/>
      <w:bookmarkEnd w:id="2190"/>
      <w:bookmarkEnd w:id="2191"/>
      <w:r>
        <w:rPr>
          <w:rFonts w:hint="eastAsia" w:ascii="楷体_GB2312" w:hAnsi="楷体_GB2312" w:eastAsia="楷体_GB2312" w:cs="楷体_GB2312"/>
          <w:b/>
          <w:color w:val="auto"/>
          <w:kern w:val="2"/>
          <w:sz w:val="32"/>
          <w:szCs w:val="24"/>
          <w:highlight w:val="none"/>
          <w:lang w:val="en-US" w:eastAsia="zh-CN" w:bidi="ar-SA"/>
        </w:rPr>
        <w:t>补贴</w:t>
      </w:r>
      <w:bookmarkEnd w:id="2192"/>
      <w:bookmarkEnd w:id="2193"/>
      <w:bookmarkEnd w:id="2194"/>
      <w:bookmarkEnd w:id="2195"/>
      <w:bookmarkEnd w:id="2196"/>
      <w:bookmarkEnd w:id="2197"/>
      <w:bookmarkEnd w:id="2198"/>
      <w:bookmarkEnd w:id="2199"/>
      <w:bookmarkEnd w:id="2200"/>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对经认定的上市企业在南山区购置自用办公用房（不含南山区政策性产业用房）的，按最高3000元/平方米的标准分3年给予补贴，每年最高1000万元，总额最高3000万元。</w:t>
      </w:r>
    </w:p>
    <w:p>
      <w:pPr>
        <w:pStyle w:val="2"/>
        <w:keepNext w:val="0"/>
        <w:keepLines w:val="0"/>
        <w:pageBreakBefore w:val="0"/>
        <w:widowControl w:val="0"/>
        <w:kinsoku/>
        <w:wordWrap/>
        <w:topLinePunct w:val="0"/>
        <w:autoSpaceDE/>
        <w:autoSpaceDN/>
        <w:bidi w:val="0"/>
        <w:spacing w:before="0" w:beforeLines="0" w:beforeAutospacing="0" w:after="0" w:afterLines="0" w:afterAutospacing="0" w:line="560" w:lineRule="exact"/>
        <w:ind w:left="0" w:leftChars="0"/>
        <w:textAlignment w:val="auto"/>
        <w:rPr>
          <w:rFonts w:hint="eastAsia"/>
          <w:highlight w:val="none"/>
          <w:lang w:val="en-US" w:eastAsia="zh-CN"/>
        </w:rPr>
      </w:pPr>
    </w:p>
    <w:bookmarkEnd w:id="1978"/>
    <w:bookmarkEnd w:id="1979"/>
    <w:bookmarkEnd w:id="1980"/>
    <w:bookmarkEnd w:id="1981"/>
    <w:bookmarkEnd w:id="1982"/>
    <w:p>
      <w:pPr>
        <w:pStyle w:val="2"/>
        <w:keepNext w:val="0"/>
        <w:keepLines w:val="0"/>
        <w:pageBreakBefore w:val="0"/>
        <w:widowControl w:val="0"/>
        <w:kinsoku/>
        <w:wordWrap/>
        <w:topLinePunct w:val="0"/>
        <w:autoSpaceDE/>
        <w:autoSpaceDN/>
        <w:bidi w:val="0"/>
        <w:spacing w:before="0" w:beforeLines="0" w:beforeAutospacing="0" w:after="0" w:afterLines="0" w:afterAutospacing="0" w:line="560" w:lineRule="exact"/>
        <w:ind w:left="0" w:leftChars="0" w:firstLine="0" w:firstLineChars="0"/>
        <w:jc w:val="center"/>
        <w:textAlignment w:val="auto"/>
        <w:outlineLvl w:val="0"/>
        <w:rPr>
          <w:rFonts w:hint="eastAsia" w:eastAsia="黑体" w:asciiTheme="minorHAnsi" w:hAnsiTheme="minorHAnsi" w:cstheme="minorBidi"/>
          <w:b w:val="0"/>
          <w:bCs w:val="0"/>
          <w:color w:val="auto"/>
          <w:kern w:val="44"/>
          <w:sz w:val="32"/>
          <w:szCs w:val="24"/>
          <w:highlight w:val="none"/>
          <w:lang w:val="en-US" w:eastAsia="zh-CN" w:bidi="ar-SA"/>
        </w:rPr>
      </w:pPr>
      <w:bookmarkStart w:id="2201" w:name="_Toc3865"/>
      <w:bookmarkStart w:id="2202" w:name="_Toc23590"/>
      <w:bookmarkStart w:id="2203" w:name="_Toc24335"/>
      <w:bookmarkStart w:id="2204" w:name="_Toc23384"/>
      <w:bookmarkStart w:id="2205" w:name="_Toc21736"/>
      <w:bookmarkStart w:id="2206" w:name="_Toc630818421"/>
      <w:bookmarkStart w:id="2207" w:name="_Toc19165"/>
      <w:bookmarkStart w:id="2208" w:name="_Toc25256"/>
      <w:bookmarkStart w:id="2209" w:name="_Toc30874"/>
      <w:bookmarkStart w:id="2210" w:name="_Toc16302"/>
      <w:bookmarkStart w:id="2211" w:name="_Toc13731"/>
      <w:bookmarkStart w:id="2212" w:name="_Toc650"/>
      <w:r>
        <w:rPr>
          <w:rFonts w:hint="eastAsia" w:eastAsia="黑体" w:asciiTheme="minorHAnsi" w:hAnsiTheme="minorHAnsi" w:cstheme="minorBidi"/>
          <w:b w:val="0"/>
          <w:bCs w:val="0"/>
          <w:color w:val="auto"/>
          <w:kern w:val="44"/>
          <w:sz w:val="32"/>
          <w:szCs w:val="24"/>
          <w:highlight w:val="none"/>
          <w:lang w:val="en-US" w:eastAsia="zh-CN" w:bidi="ar-SA"/>
        </w:rPr>
        <w:t>第五章  附</w:t>
      </w:r>
      <w:r>
        <w:rPr>
          <w:rFonts w:hint="eastAsia" w:asciiTheme="minorHAnsi" w:hAnsiTheme="minorHAnsi" w:cstheme="minorBidi"/>
          <w:b w:val="0"/>
          <w:bCs w:val="0"/>
          <w:color w:val="auto"/>
          <w:kern w:val="44"/>
          <w:sz w:val="32"/>
          <w:szCs w:val="24"/>
          <w:highlight w:val="none"/>
          <w:lang w:val="en-US" w:eastAsia="zh-CN" w:bidi="ar-SA"/>
        </w:rPr>
        <w:t xml:space="preserve">  </w:t>
      </w:r>
      <w:r>
        <w:rPr>
          <w:rFonts w:hint="eastAsia" w:eastAsia="黑体" w:asciiTheme="minorHAnsi" w:hAnsiTheme="minorHAnsi" w:cstheme="minorBidi"/>
          <w:b w:val="0"/>
          <w:bCs w:val="0"/>
          <w:color w:val="auto"/>
          <w:kern w:val="44"/>
          <w:sz w:val="32"/>
          <w:szCs w:val="24"/>
          <w:highlight w:val="none"/>
          <w:lang w:val="en-US" w:eastAsia="zh-CN" w:bidi="ar-SA"/>
        </w:rPr>
        <w:t>则</w:t>
      </w:r>
      <w:bookmarkEnd w:id="2201"/>
      <w:bookmarkEnd w:id="2202"/>
      <w:bookmarkEnd w:id="2203"/>
      <w:bookmarkEnd w:id="2204"/>
      <w:bookmarkEnd w:id="2205"/>
      <w:bookmarkEnd w:id="2206"/>
      <w:bookmarkEnd w:id="2207"/>
      <w:bookmarkEnd w:id="2208"/>
      <w:bookmarkEnd w:id="2209"/>
      <w:bookmarkEnd w:id="2210"/>
      <w:bookmarkEnd w:id="2211"/>
      <w:bookmarkEnd w:id="2212"/>
      <w:r>
        <w:rPr>
          <w:rFonts w:hint="eastAsia" w:eastAsia="黑体" w:asciiTheme="minorHAnsi" w:hAnsiTheme="minorHAnsi" w:cstheme="minorBidi"/>
          <w:b w:val="0"/>
          <w:bCs w:val="0"/>
          <w:color w:val="auto"/>
          <w:kern w:val="44"/>
          <w:sz w:val="32"/>
          <w:szCs w:val="24"/>
          <w:highlight w:val="no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hint="eastAsia" w:ascii="仿宋_GB2312" w:hAnsi="仿宋_GB2312" w:eastAsia="仿宋_GB2312" w:cs="仿宋_GB2312"/>
          <w:b/>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 xml:space="preserve">第三十二条  </w:t>
      </w:r>
      <w:r>
        <w:rPr>
          <w:rFonts w:hint="eastAsia" w:ascii="仿宋_GB2312" w:hAnsi="仿宋_GB2312" w:cs="仿宋_GB2312"/>
          <w:b w:val="0"/>
          <w:bCs w:val="0"/>
          <w:color w:val="auto"/>
          <w:sz w:val="32"/>
          <w:szCs w:val="32"/>
          <w:highlight w:val="none"/>
          <w:lang w:val="en-US" w:eastAsia="zh-CN"/>
        </w:rPr>
        <w:t>本措施所称金融企业，包括金融企业总部、金融控股公司、金融企业一级分支机构、金融企业设立的各类专业子公司、商业银行持牌专营机构、股权投资机构、地方金融组织及其他创新型金融机构等。</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措施所称金融企业总部，是指经国家金融监管部门批准，在深圳注册并具有独立法人资格，对一定区域内的企业行使投资控股、运营决策、集中销售、财务结算等管理服务职能的总机构，包括银行、信托公司、金融租赁公司、财务公司、消费金融公司、汽车金融公司、</w:t>
      </w:r>
      <w:r>
        <w:rPr>
          <w:rFonts w:hint="eastAsia" w:ascii="仿宋_GB2312" w:hAnsi="仿宋_GB2312" w:eastAsia="仿宋_GB2312" w:cs="仿宋_GB2312"/>
          <w:color w:val="auto"/>
          <w:sz w:val="32"/>
          <w:szCs w:val="32"/>
          <w:highlight w:val="none"/>
          <w:lang w:val="en-US" w:eastAsia="zh-CN"/>
        </w:rPr>
        <w:t>理财公司</w:t>
      </w:r>
      <w:r>
        <w:rPr>
          <w:rFonts w:hint="eastAsia" w:ascii="仿宋_GB2312" w:hAnsi="仿宋_GB2312" w:eastAsia="仿宋_GB2312" w:cs="仿宋_GB2312"/>
          <w:color w:val="auto"/>
          <w:sz w:val="32"/>
          <w:szCs w:val="32"/>
          <w:highlight w:val="none"/>
        </w:rPr>
        <w:t>、金融资产投资公司、证券公司、证券资产管理公司、基金管理公司、期货公司、保险公司、保险资产管理公司、相互保险组织等经营性金融企业，经核准或授权开展金融企业不良资产批量收购、处置业务的地方资产管理公司</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以及经市政府同意的重要金融基础设施。</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本措施所称金融控股公司，是指根据《国务院关于实施金融控股公司准入管理的决定》（国发〔2020〕12号），经中国人民银行批准，在深圳注册设立并具有独立法人资格的金融控股公司。</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本措施所称金融企业一级分支机构，是指隶属于银行、证券公司、保险公司、信托公司、金融租赁公司、</w:t>
      </w:r>
      <w:r>
        <w:rPr>
          <w:rFonts w:hint="eastAsia" w:ascii="仿宋_GB2312" w:hAnsi="仿宋_GB2312" w:eastAsia="仿宋_GB2312" w:cs="仿宋_GB2312"/>
          <w:color w:val="auto"/>
          <w:sz w:val="32"/>
          <w:szCs w:val="32"/>
          <w:highlight w:val="none"/>
          <w:lang w:val="en-US" w:eastAsia="zh-CN"/>
        </w:rPr>
        <w:t>理财公司</w:t>
      </w:r>
      <w:r>
        <w:rPr>
          <w:rFonts w:hint="eastAsia" w:ascii="仿宋_GB2312" w:hAnsi="仿宋_GB2312" w:eastAsia="仿宋_GB2312" w:cs="仿宋_GB2312"/>
          <w:color w:val="auto"/>
          <w:sz w:val="32"/>
          <w:szCs w:val="32"/>
          <w:highlight w:val="none"/>
        </w:rPr>
        <w:t>、金融资产投资公司等金融企业总部的深圳市级分行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分公司</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措施所称商业银行专营机构，是指商业银行针对本行特定领域业务所设立的、有别于传统分支行的机构，并具备以下特征：针对某一业务单元或服务对象设立；独立面向社会公众或交易对手开展经营活动；经总行授权，在人力资源管理、业务考核、经营资源调配、风险管理与内部控制等方面独立于本行经营部门或当地分支行。商业银行专营机构类型包括但不限于小企业金融服务中心、信用卡中心、票据中心、资金运营中心等。</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本措施所称的</w:t>
      </w:r>
      <w:r>
        <w:rPr>
          <w:rFonts w:hint="eastAsia" w:ascii="仿宋_GB2312" w:hAnsi="仿宋_GB2312" w:cs="仿宋_GB2312"/>
          <w:color w:val="auto"/>
          <w:sz w:val="32"/>
          <w:szCs w:val="32"/>
          <w:highlight w:val="none"/>
          <w:lang w:eastAsia="zh-CN"/>
        </w:rPr>
        <w:t>股权投资机构</w:t>
      </w:r>
      <w:r>
        <w:rPr>
          <w:rFonts w:hint="eastAsia" w:ascii="仿宋_GB2312" w:hAnsi="仿宋_GB2312" w:eastAsia="仿宋_GB2312" w:cs="仿宋_GB2312"/>
          <w:color w:val="auto"/>
          <w:sz w:val="32"/>
          <w:szCs w:val="32"/>
          <w:highlight w:val="none"/>
        </w:rPr>
        <w:t>是指注册地、税务征管关系及统计关系均在深圳，且在中国证券投资基金业协会完成登记备案，并接入深圳私募基金信息服务平台的私募投资机构，包括但不限于股权投资企业、创业投资企业</w:t>
      </w:r>
      <w:r>
        <w:rPr>
          <w:rFonts w:hint="eastAsia" w:ascii="仿宋_GB2312" w:hAnsi="仿宋_GB2312" w:cs="仿宋_GB2312"/>
          <w:color w:val="auto"/>
          <w:sz w:val="32"/>
          <w:szCs w:val="32"/>
          <w:highlight w:val="none"/>
          <w:lang w:eastAsia="zh-CN"/>
        </w:rPr>
        <w:t>、股权投资管理企业、创业投资管理企业、私募证券投资基金管理企业等，以及产业投资主体</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本措施所称的地方金融组织，是指已发设立、由地方金融监督管理的小额贷款公司、融资担保公司、典当行、融资租赁公司、商业保理公司、地方资产管理公司等。</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val="0"/>
          <w:color w:val="auto"/>
          <w:sz w:val="32"/>
          <w:szCs w:val="24"/>
          <w:highlight w:val="none"/>
          <w:lang w:val="en-US" w:eastAsia="zh-CN"/>
        </w:rPr>
        <w:t>第三十三条</w:t>
      </w:r>
      <w:r>
        <w:rPr>
          <w:rFonts w:hint="eastAsia" w:ascii="楷体_GB2312" w:hAnsi="楷体_GB2312" w:eastAsia="楷体_GB2312" w:cs="楷体_GB2312"/>
          <w:b/>
          <w:color w:val="auto"/>
          <w:sz w:val="32"/>
          <w:szCs w:val="24"/>
          <w:highlight w:val="none"/>
        </w:rPr>
        <w:t xml:space="preserve"> </w:t>
      </w:r>
      <w:r>
        <w:rPr>
          <w:rFonts w:hint="eastAsia" w:ascii="仿宋_GB2312" w:hAnsi="仿宋_GB2312" w:eastAsia="仿宋_GB2312" w:cs="仿宋_GB2312"/>
          <w:color w:val="auto"/>
          <w:sz w:val="32"/>
          <w:szCs w:val="32"/>
          <w:highlight w:val="none"/>
        </w:rPr>
        <w:t xml:space="preserve"> 本措施尚未涵盖但对辖区经济发展有重要影响的事项或上级部门有明确要求的事项，由相关单位直接向区主管部门提出申请，主管部门提出受理意见，按“一事一议”的方式报区自主创新产业发展专项资金领导小组会议审议。</w:t>
      </w:r>
    </w:p>
    <w:p>
      <w:pPr>
        <w:keepNext w:val="0"/>
        <w:keepLines w:val="0"/>
        <w:pageBreakBefore w:val="0"/>
        <w:widowControl w:val="0"/>
        <w:kinsoku/>
        <w:wordWrap/>
        <w:topLinePunct w:val="0"/>
        <w:autoSpaceDE/>
        <w:autoSpaceDN/>
        <w:bidi w:val="0"/>
        <w:spacing w:beforeAutospacing="0" w:afterAutospacing="0" w:line="560" w:lineRule="exact"/>
        <w:ind w:left="0" w:leftChars="0" w:firstLine="643" w:firstLineChars="200"/>
        <w:textAlignment w:val="auto"/>
        <w:rPr>
          <w:rFonts w:eastAsia="仿宋_GB2312" w:asciiTheme="minorHAnsi" w:hAnsiTheme="minorHAnsi" w:cstheme="minorBidi"/>
          <w:color w:val="auto"/>
          <w:sz w:val="32"/>
          <w:highlight w:val="none"/>
        </w:rPr>
      </w:pPr>
      <w:r>
        <w:rPr>
          <w:rFonts w:hint="eastAsia" w:ascii="楷体_GB2312" w:hAnsi="楷体_GB2312" w:eastAsia="楷体_GB2312" w:cs="楷体_GB2312"/>
          <w:b/>
          <w:bCs w:val="0"/>
          <w:color w:val="auto"/>
          <w:sz w:val="32"/>
          <w:szCs w:val="24"/>
          <w:highlight w:val="none"/>
          <w:lang w:val="en-US" w:eastAsia="zh-CN"/>
        </w:rPr>
        <w:t>第三十四条</w:t>
      </w:r>
      <w:r>
        <w:rPr>
          <w:rFonts w:hint="eastAsia" w:eastAsia="仿宋_GB2312" w:asciiTheme="minorHAnsi" w:hAnsiTheme="minorHAnsi" w:cstheme="minorBidi"/>
          <w:color w:val="auto"/>
          <w:sz w:val="32"/>
          <w:highlight w:val="none"/>
          <w:lang w:val="en-US" w:eastAsia="zh-CN"/>
        </w:rPr>
        <w:t xml:space="preserve"> </w:t>
      </w:r>
      <w:r>
        <w:rPr>
          <w:rFonts w:hint="eastAsia" w:asciiTheme="minorHAnsi" w:hAnsiTheme="minorHAnsi" w:cstheme="minorBidi"/>
          <w:color w:val="auto"/>
          <w:sz w:val="32"/>
          <w:highlight w:val="none"/>
          <w:lang w:val="en-US" w:eastAsia="zh-CN"/>
        </w:rPr>
        <w:t xml:space="preserve"> </w:t>
      </w:r>
      <w:r>
        <w:rPr>
          <w:rFonts w:hint="eastAsia" w:eastAsia="仿宋_GB2312" w:asciiTheme="minorHAnsi" w:hAnsiTheme="minorHAnsi" w:cstheme="minorBidi"/>
          <w:color w:val="auto"/>
          <w:sz w:val="32"/>
          <w:highlight w:val="none"/>
        </w:rPr>
        <w:t>本措施自发布之日起施行，有效期三年。</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val="0"/>
          <w:color w:val="auto"/>
          <w:sz w:val="32"/>
          <w:szCs w:val="24"/>
          <w:highlight w:val="none"/>
        </w:rPr>
        <w:t>第</w:t>
      </w:r>
      <w:r>
        <w:rPr>
          <w:rFonts w:hint="eastAsia" w:ascii="楷体_GB2312" w:hAnsi="楷体_GB2312" w:eastAsia="楷体_GB2312" w:cs="楷体_GB2312"/>
          <w:b/>
          <w:bCs w:val="0"/>
          <w:color w:val="auto"/>
          <w:sz w:val="32"/>
          <w:szCs w:val="24"/>
          <w:highlight w:val="none"/>
          <w:lang w:val="en-US" w:eastAsia="zh-CN"/>
        </w:rPr>
        <w:t>三十五</w:t>
      </w:r>
      <w:r>
        <w:rPr>
          <w:rFonts w:hint="eastAsia" w:ascii="楷体_GB2312" w:hAnsi="楷体_GB2312" w:eastAsia="楷体_GB2312" w:cs="楷体_GB2312"/>
          <w:b/>
          <w:bCs w:val="0"/>
          <w:color w:val="auto"/>
          <w:sz w:val="32"/>
          <w:szCs w:val="24"/>
          <w:highlight w:val="none"/>
        </w:rPr>
        <w:t>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本措施由</w:t>
      </w:r>
      <w:r>
        <w:rPr>
          <w:rFonts w:hint="eastAsia" w:ascii="仿宋_GB2312" w:hAnsi="仿宋_GB2312" w:cs="仿宋_GB2312"/>
          <w:color w:val="auto"/>
          <w:sz w:val="32"/>
          <w:szCs w:val="40"/>
          <w:highlight w:val="none"/>
          <w:lang w:eastAsia="zh-CN"/>
        </w:rPr>
        <w:t>区工业和信息化局（</w:t>
      </w:r>
      <w:r>
        <w:rPr>
          <w:rFonts w:hint="eastAsia" w:ascii="仿宋_GB2312" w:hAnsi="仿宋_GB2312" w:eastAsia="仿宋_GB2312" w:cs="仿宋_GB2312"/>
          <w:color w:val="auto"/>
          <w:sz w:val="32"/>
          <w:szCs w:val="32"/>
          <w:highlight w:val="none"/>
        </w:rPr>
        <w:t>区金融发展服务中心</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负责解释，制定与本措施相关的操作规程。</w:t>
      </w:r>
    </w:p>
    <w:p>
      <w:pPr>
        <w:pStyle w:val="2"/>
        <w:keepNext w:val="0"/>
        <w:keepLines w:val="0"/>
        <w:pageBreakBefore w:val="0"/>
        <w:widowControl w:val="0"/>
        <w:wordWrap/>
        <w:topLinePunct w:val="0"/>
        <w:bidi w:val="0"/>
        <w:spacing w:before="0" w:beforeLines="0" w:beforeAutospacing="0" w:after="0" w:afterLines="0" w:afterAutospacing="0" w:line="560" w:lineRule="exact"/>
        <w:ind w:left="0" w:leftChars="0"/>
        <w:rPr>
          <w:rFonts w:hint="eastAsia" w:ascii="仿宋_GB2312" w:hAnsi="仿宋_GB2312" w:eastAsia="仿宋_GB2312" w:cs="仿宋_GB2312"/>
          <w:color w:val="auto"/>
          <w:sz w:val="32"/>
          <w:szCs w:val="32"/>
          <w:highlight w:val="none"/>
        </w:rPr>
      </w:pPr>
    </w:p>
    <w:p>
      <w:pPr>
        <w:keepNext w:val="0"/>
        <w:keepLines w:val="0"/>
        <w:pageBreakBefore w:val="0"/>
        <w:widowControl w:val="0"/>
        <w:wordWrap/>
        <w:topLinePunct w:val="0"/>
        <w:bidi w:val="0"/>
        <w:spacing w:beforeAutospacing="0" w:afterAutospacing="0" w:line="560" w:lineRule="exact"/>
        <w:ind w:left="0" w:leftChars="0"/>
        <w:rPr>
          <w:rFonts w:hint="eastAsia" w:ascii="仿宋_GB2312" w:hAnsi="仿宋_GB2312" w:eastAsia="仿宋_GB2312" w:cs="仿宋_GB2312"/>
          <w:color w:val="auto"/>
          <w:sz w:val="32"/>
          <w:szCs w:val="32"/>
          <w:highlight w:val="none"/>
        </w:rPr>
      </w:pPr>
    </w:p>
    <w:p>
      <w:pPr>
        <w:pStyle w:val="2"/>
        <w:keepNext w:val="0"/>
        <w:keepLines w:val="0"/>
        <w:pageBreakBefore w:val="0"/>
        <w:widowControl w:val="0"/>
        <w:wordWrap/>
        <w:topLinePunct w:val="0"/>
        <w:bidi w:val="0"/>
        <w:spacing w:before="0" w:beforeLines="0" w:beforeAutospacing="0" w:after="0" w:afterLines="0" w:afterAutospacing="0" w:line="560" w:lineRule="exact"/>
        <w:ind w:left="0" w:leftChars="0"/>
        <w:rPr>
          <w:rFonts w:hint="eastAsia" w:ascii="仿宋_GB2312" w:hAnsi="仿宋_GB2312" w:eastAsia="仿宋_GB2312" w:cs="仿宋_GB2312"/>
          <w:color w:val="auto"/>
          <w:sz w:val="32"/>
          <w:szCs w:val="32"/>
          <w:highlight w:val="none"/>
        </w:rPr>
      </w:pPr>
    </w:p>
    <w:p>
      <w:pPr>
        <w:keepNext w:val="0"/>
        <w:keepLines w:val="0"/>
        <w:pageBreakBefore w:val="0"/>
        <w:widowControl w:val="0"/>
        <w:wordWrap/>
        <w:topLinePunct w:val="0"/>
        <w:bidi w:val="0"/>
        <w:spacing w:beforeAutospacing="0" w:afterAutospacing="0" w:line="560" w:lineRule="exact"/>
        <w:ind w:left="0" w:leftChars="0"/>
        <w:rPr>
          <w:rFonts w:hint="eastAsia" w:ascii="仿宋_GB2312" w:hAnsi="仿宋_GB2312" w:eastAsia="仿宋_GB2312" w:cs="仿宋_GB2312"/>
          <w:color w:val="auto"/>
          <w:sz w:val="32"/>
          <w:szCs w:val="32"/>
          <w:highlight w:val="none"/>
        </w:rPr>
      </w:pPr>
    </w:p>
    <w:p>
      <w:pPr>
        <w:pStyle w:val="2"/>
        <w:keepNext w:val="0"/>
        <w:keepLines w:val="0"/>
        <w:pageBreakBefore w:val="0"/>
        <w:widowControl w:val="0"/>
        <w:wordWrap/>
        <w:topLinePunct w:val="0"/>
        <w:bidi w:val="0"/>
        <w:spacing w:before="0" w:beforeLines="0" w:beforeAutospacing="0" w:after="0" w:afterLines="0" w:afterAutospacing="0" w:line="560" w:lineRule="exact"/>
        <w:ind w:left="0" w:leftChars="0"/>
        <w:rPr>
          <w:rFonts w:hint="eastAsia" w:ascii="仿宋_GB2312" w:hAnsi="仿宋_GB2312" w:eastAsia="仿宋_GB2312" w:cs="仿宋_GB2312"/>
          <w:color w:val="auto"/>
          <w:sz w:val="32"/>
          <w:szCs w:val="32"/>
          <w:highlight w:val="none"/>
        </w:rPr>
      </w:pPr>
    </w:p>
    <w:p>
      <w:pPr>
        <w:keepNext w:val="0"/>
        <w:keepLines w:val="0"/>
        <w:pageBreakBefore w:val="0"/>
        <w:widowControl w:val="0"/>
        <w:wordWrap/>
        <w:topLinePunct w:val="0"/>
        <w:bidi w:val="0"/>
        <w:spacing w:beforeAutospacing="0" w:afterAutospacing="0" w:line="560" w:lineRule="exact"/>
        <w:ind w:left="0" w:leftChars="0"/>
        <w:rPr>
          <w:rFonts w:hint="eastAsia" w:ascii="仿宋_GB2312" w:hAnsi="仿宋_GB2312" w:eastAsia="仿宋_GB2312" w:cs="仿宋_GB2312"/>
          <w:color w:val="auto"/>
          <w:sz w:val="32"/>
          <w:szCs w:val="32"/>
          <w:highlight w:val="none"/>
        </w:rPr>
      </w:pPr>
    </w:p>
    <w:p>
      <w:pPr>
        <w:pStyle w:val="2"/>
        <w:keepNext w:val="0"/>
        <w:keepLines w:val="0"/>
        <w:pageBreakBefore w:val="0"/>
        <w:widowControl w:val="0"/>
        <w:wordWrap/>
        <w:topLinePunct w:val="0"/>
        <w:bidi w:val="0"/>
        <w:spacing w:before="0" w:beforeLines="0" w:beforeAutospacing="0" w:after="0" w:afterLines="0" w:afterAutospacing="0" w:line="560" w:lineRule="exact"/>
        <w:ind w:left="0" w:leftChars="0"/>
        <w:rPr>
          <w:rFonts w:hint="eastAsia" w:ascii="仿宋_GB2312" w:hAnsi="仿宋_GB2312" w:eastAsia="仿宋_GB2312" w:cs="仿宋_GB2312"/>
          <w:color w:val="auto"/>
          <w:sz w:val="32"/>
          <w:szCs w:val="32"/>
          <w:highlight w:val="none"/>
        </w:rPr>
      </w:pPr>
    </w:p>
    <w:p>
      <w:pPr>
        <w:pStyle w:val="2"/>
        <w:keepNext w:val="0"/>
        <w:keepLines w:val="0"/>
        <w:pageBreakBefore w:val="0"/>
        <w:widowControl w:val="0"/>
        <w:wordWrap/>
        <w:topLinePunct w:val="0"/>
        <w:bidi w:val="0"/>
        <w:spacing w:before="0" w:beforeLines="0" w:beforeAutospacing="0" w:after="0" w:afterLines="0" w:afterAutospacing="0" w:line="560" w:lineRule="exact"/>
        <w:ind w:left="0" w:leftChars="0"/>
        <w:jc w:val="both"/>
        <w:rPr>
          <w:rFonts w:hint="eastAsia" w:ascii="仿宋_GB2312" w:hAnsi="仿宋_GB2312" w:eastAsia="仿宋_GB2312" w:cs="仿宋_GB2312"/>
          <w:color w:val="auto"/>
          <w:sz w:val="32"/>
          <w:szCs w:val="32"/>
          <w:highlight w:val="none"/>
        </w:rPr>
      </w:pPr>
    </w:p>
    <w:p>
      <w:pPr>
        <w:keepNext w:val="0"/>
        <w:keepLines w:val="0"/>
        <w:pageBreakBefore w:val="0"/>
        <w:widowControl w:val="0"/>
        <w:wordWrap/>
        <w:topLinePunct w:val="0"/>
        <w:bidi w:val="0"/>
        <w:spacing w:beforeAutospacing="0" w:afterAutospacing="0" w:line="560" w:lineRule="exact"/>
        <w:ind w:left="0" w:leftChars="0"/>
        <w:rPr>
          <w:rFonts w:hint="eastAsia"/>
        </w:rPr>
      </w:pPr>
    </w:p>
    <w:p>
      <w:pPr>
        <w:pStyle w:val="6"/>
        <w:keepNext w:val="0"/>
        <w:keepLines w:val="0"/>
        <w:pageBreakBefore w:val="0"/>
        <w:widowControl w:val="0"/>
        <w:wordWrap/>
        <w:topLinePunct w:val="0"/>
        <w:bidi w:val="0"/>
        <w:spacing w:beforeAutospacing="0" w:afterAutospacing="0" w:line="560" w:lineRule="exact"/>
        <w:ind w:left="0" w:leftChars="0" w:firstLine="0" w:firstLineChars="0"/>
        <w:jc w:val="center"/>
        <w:rPr>
          <w:rFonts w:hint="eastAsia" w:ascii="方正小标宋简体" w:hAnsi="方正小标宋简体" w:eastAsia="方正小标宋简体" w:cs="方正小标宋简体"/>
          <w:sz w:val="44"/>
          <w:szCs w:val="44"/>
        </w:rPr>
      </w:pPr>
      <w:bookmarkStart w:id="2213" w:name="_Toc15044"/>
    </w:p>
    <w:p>
      <w:pPr>
        <w:pStyle w:val="6"/>
        <w:keepNext w:val="0"/>
        <w:keepLines w:val="0"/>
        <w:pageBreakBefore w:val="0"/>
        <w:widowControl w:val="0"/>
        <w:wordWrap/>
        <w:topLinePunct w:val="0"/>
        <w:bidi w:val="0"/>
        <w:spacing w:beforeAutospacing="0" w:afterAutospacing="0" w:line="560" w:lineRule="exact"/>
        <w:ind w:left="0" w:leftChars="0" w:firstLine="0" w:firstLineChars="0"/>
        <w:jc w:val="center"/>
        <w:rPr>
          <w:rFonts w:hint="eastAsia" w:ascii="方正小标宋简体" w:hAnsi="方正小标宋简体" w:eastAsia="方正小标宋简体" w:cs="方正小标宋简体"/>
          <w:sz w:val="44"/>
          <w:szCs w:val="44"/>
        </w:rPr>
      </w:pPr>
    </w:p>
    <w:p>
      <w:pPr>
        <w:pStyle w:val="6"/>
        <w:keepNext w:val="0"/>
        <w:keepLines w:val="0"/>
        <w:pageBreakBefore w:val="0"/>
        <w:widowControl w:val="0"/>
        <w:wordWrap/>
        <w:topLinePunct w:val="0"/>
        <w:bidi w:val="0"/>
        <w:spacing w:beforeAutospacing="0" w:afterAutospacing="0" w:line="560" w:lineRule="exact"/>
        <w:ind w:left="0" w:leftChars="0" w:firstLine="0" w:firstLineChars="0"/>
        <w:jc w:val="center"/>
        <w:rPr>
          <w:rFonts w:hint="eastAsia" w:ascii="方正小标宋简体" w:hAnsi="方正小标宋简体" w:eastAsia="方正小标宋简体" w:cs="方正小标宋简体"/>
          <w:sz w:val="44"/>
          <w:szCs w:val="44"/>
        </w:rPr>
      </w:pPr>
    </w:p>
    <w:p>
      <w:pP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p>
    <w:p>
      <w:pPr>
        <w:pStyle w:val="6"/>
        <w:keepNext w:val="0"/>
        <w:keepLines w:val="0"/>
        <w:pageBreakBefore w:val="0"/>
        <w:widowControl w:val="0"/>
        <w:wordWrap/>
        <w:topLinePunct w:val="0"/>
        <w:bidi w:val="0"/>
        <w:spacing w:beforeAutospacing="0" w:afterAutospacing="0" w:line="560" w:lineRule="exact"/>
        <w:ind w:left="0" w:lef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南山区</w:t>
      </w:r>
      <w:r>
        <w:rPr>
          <w:rFonts w:hint="eastAsia" w:ascii="方正小标宋简体" w:hAnsi="方正小标宋简体" w:eastAsia="方正小标宋简体" w:cs="方正小标宋简体"/>
          <w:sz w:val="44"/>
          <w:szCs w:val="44"/>
          <w:lang w:eastAsia="zh-CN"/>
        </w:rPr>
        <w:t>促进</w:t>
      </w:r>
      <w:r>
        <w:rPr>
          <w:rFonts w:hint="eastAsia" w:ascii="方正小标宋简体" w:hAnsi="方正小标宋简体" w:eastAsia="方正小标宋简体" w:cs="方正小标宋简体"/>
          <w:sz w:val="44"/>
          <w:szCs w:val="44"/>
        </w:rPr>
        <w:t>招商引资专项扶持措施</w:t>
      </w:r>
      <w:bookmarkEnd w:id="2213"/>
    </w:p>
    <w:p>
      <w:pPr>
        <w:pStyle w:val="10"/>
        <w:keepNext w:val="0"/>
        <w:keepLines w:val="0"/>
        <w:pageBreakBefore w:val="0"/>
        <w:widowControl w:val="0"/>
        <w:tabs>
          <w:tab w:val="right" w:leader="dot" w:pos="8250"/>
        </w:tabs>
        <w:wordWrap/>
        <w:topLinePunct w:val="0"/>
        <w:bidi w:val="0"/>
        <w:spacing w:beforeAutospacing="0" w:afterAutospacing="0" w:line="560" w:lineRule="exact"/>
        <w:ind w:left="0" w:leftChars="0"/>
        <w:jc w:val="center"/>
        <w:rPr>
          <w:rFonts w:hint="eastAsia"/>
        </w:rPr>
      </w:pPr>
      <w:r>
        <w:rPr>
          <w:rFonts w:hint="eastAsia" w:ascii="宋体" w:hAnsi="宋体" w:eastAsia="宋体" w:cs="宋体"/>
          <w:b/>
          <w:bCs/>
          <w:sz w:val="36"/>
          <w:szCs w:val="36"/>
          <w:lang w:eastAsia="zh-CN"/>
        </w:rPr>
        <w:t>（征求意见稿）</w:t>
      </w:r>
      <w:bookmarkStart w:id="2214" w:name="_Toc23359"/>
      <w:bookmarkStart w:id="2215" w:name="_Toc9239"/>
      <w:bookmarkStart w:id="2216" w:name="_Toc20637_WPSOffice_Level1"/>
    </w:p>
    <w:p>
      <w:pPr>
        <w:pStyle w:val="10"/>
        <w:keepNext w:val="0"/>
        <w:keepLines w:val="0"/>
        <w:pageBreakBefore w:val="0"/>
        <w:widowControl w:val="0"/>
        <w:tabs>
          <w:tab w:val="right" w:leader="dot" w:pos="8250"/>
        </w:tabs>
        <w:wordWrap/>
        <w:topLinePunct w:val="0"/>
        <w:bidi w:val="0"/>
        <w:spacing w:beforeAutospacing="0" w:afterAutospacing="0" w:line="560" w:lineRule="exact"/>
        <w:ind w:left="0" w:leftChars="0"/>
        <w:rPr>
          <w:rFonts w:hint="eastAsia"/>
        </w:rPr>
      </w:pPr>
    </w:p>
    <w:p>
      <w:pPr>
        <w:pStyle w:val="10"/>
        <w:keepNext w:val="0"/>
        <w:keepLines w:val="0"/>
        <w:pageBreakBefore w:val="0"/>
        <w:widowControl w:val="0"/>
        <w:tabs>
          <w:tab w:val="right" w:leader="dot" w:pos="8250"/>
        </w:tabs>
        <w:wordWrap/>
        <w:topLinePunct w:val="0"/>
        <w:bidi w:val="0"/>
        <w:spacing w:beforeAutospacing="0" w:afterAutospacing="0" w:line="560" w:lineRule="exact"/>
        <w:ind w:left="0" w:leftChars="0"/>
        <w:jc w:val="center"/>
        <w:rPr>
          <w:b w:val="0"/>
          <w:bCs w:val="0"/>
        </w:rPr>
      </w:pPr>
      <w:r>
        <w:rPr>
          <w:rFonts w:hint="eastAsia"/>
          <w:b w:val="0"/>
          <w:bCs w:val="0"/>
        </w:rPr>
        <w:t>第一章  总  则</w:t>
      </w:r>
      <w:bookmarkEnd w:id="2214"/>
      <w:bookmarkEnd w:id="2215"/>
      <w:bookmarkEnd w:id="2216"/>
    </w:p>
    <w:p>
      <w:pPr>
        <w:keepNext w:val="0"/>
        <w:keepLines w:val="0"/>
        <w:pageBreakBefore w:val="0"/>
        <w:widowControl w:val="0"/>
        <w:wordWrap/>
        <w:topLinePunct w:val="0"/>
        <w:bidi w:val="0"/>
        <w:spacing w:beforeAutospacing="0" w:afterAutospacing="0" w:line="560" w:lineRule="exact"/>
        <w:ind w:left="0" w:leftChars="0" w:firstLine="643"/>
        <w:rPr>
          <w:rFonts w:hint="eastAsia"/>
          <w:b/>
          <w:bCs/>
        </w:rPr>
      </w:pPr>
      <w:bookmarkStart w:id="2217" w:name="_Toc2046_WPSOffice_Level1"/>
      <w:bookmarkStart w:id="2218" w:name="_Toc32692"/>
    </w:p>
    <w:p>
      <w:pPr>
        <w:keepNext w:val="0"/>
        <w:keepLines w:val="0"/>
        <w:pageBreakBefore w:val="0"/>
        <w:widowControl w:val="0"/>
        <w:wordWrap/>
        <w:topLinePunct w:val="0"/>
        <w:bidi w:val="0"/>
        <w:spacing w:beforeAutospacing="0" w:afterAutospacing="0" w:line="560" w:lineRule="exact"/>
        <w:ind w:left="0" w:leftChars="0" w:firstLine="643"/>
      </w:pPr>
      <w:r>
        <w:rPr>
          <w:rFonts w:hint="eastAsia" w:ascii="楷体_GB2312" w:hAnsi="楷体_GB2312" w:eastAsia="楷体_GB2312" w:cs="楷体_GB2312"/>
          <w:b/>
          <w:bCs w:val="0"/>
          <w:color w:val="auto"/>
          <w:highlight w:val="none"/>
        </w:rPr>
        <w:t>第一条</w:t>
      </w:r>
      <w:r>
        <w:rPr>
          <w:rFonts w:hint="eastAsia"/>
        </w:rPr>
        <w:t xml:space="preserve">  为促进我区经济发展方式转变，推动产业结构优化升级，抢抓粤港澳大湾区和深圳先行示范区“双区”建设机遇，实现南山建成世界级创新型滨海中心城区的目标，同时规范南山区自主创新产业发展专项资金</w:t>
      </w:r>
      <w:r>
        <w:rPr>
          <w:rFonts w:hint="eastAsia"/>
          <w:lang w:val="en-US" w:eastAsia="zh-CN"/>
        </w:rPr>
        <w:t>招商引资</w:t>
      </w:r>
      <w:r>
        <w:rPr>
          <w:rFonts w:hint="eastAsia"/>
        </w:rPr>
        <w:t>分项资金的使用和管理，根据《南山区自主创新产业发展专项资金管理办法》和全区招商引资工作部署，制定本措施。</w:t>
      </w:r>
    </w:p>
    <w:p>
      <w:pPr>
        <w:keepNext w:val="0"/>
        <w:keepLines w:val="0"/>
        <w:pageBreakBefore w:val="0"/>
        <w:widowControl w:val="0"/>
        <w:wordWrap/>
        <w:topLinePunct w:val="0"/>
        <w:bidi w:val="0"/>
        <w:spacing w:beforeAutospacing="0" w:afterAutospacing="0" w:line="560" w:lineRule="exact"/>
        <w:ind w:left="0" w:leftChars="0" w:firstLine="643"/>
      </w:pPr>
      <w:r>
        <w:rPr>
          <w:rFonts w:hint="eastAsia" w:ascii="楷体_GB2312" w:hAnsi="楷体_GB2312" w:eastAsia="楷体_GB2312" w:cs="楷体_GB2312"/>
          <w:b/>
          <w:bCs w:val="0"/>
          <w:color w:val="auto"/>
          <w:highlight w:val="none"/>
        </w:rPr>
        <w:t>第二条</w:t>
      </w:r>
      <w:r>
        <w:rPr>
          <w:rFonts w:hint="eastAsia" w:ascii="楷体_GB2312" w:hAnsi="楷体_GB2312" w:eastAsia="楷体_GB2312" w:cs="楷体_GB2312"/>
          <w:b/>
          <w:color w:val="auto"/>
          <w:highlight w:val="none"/>
        </w:rPr>
        <w:t xml:space="preserve"> </w:t>
      </w:r>
      <w:r>
        <w:rPr>
          <w:rFonts w:hint="eastAsia"/>
        </w:rPr>
        <w:t xml:space="preserve"> 本措施支持范围包括</w:t>
      </w:r>
      <w:r>
        <w:rPr>
          <w:rFonts w:hint="eastAsia"/>
          <w:lang w:val="en-US" w:eastAsia="zh-CN"/>
        </w:rPr>
        <w:t>落户奖励、人才安置补贴、办公用房租赁、购置、装修补贴等</w:t>
      </w:r>
      <w:r>
        <w:rPr>
          <w:rFonts w:hint="eastAsia"/>
        </w:rPr>
        <w:t>政策。各部分资金量在资金总量控制范围内可适当调整。</w:t>
      </w:r>
    </w:p>
    <w:p>
      <w:pPr>
        <w:keepNext w:val="0"/>
        <w:keepLines w:val="0"/>
        <w:pageBreakBefore w:val="0"/>
        <w:widowControl w:val="0"/>
        <w:wordWrap/>
        <w:topLinePunct w:val="0"/>
        <w:bidi w:val="0"/>
        <w:spacing w:beforeAutospacing="0" w:afterAutospacing="0" w:line="560" w:lineRule="exact"/>
        <w:ind w:left="0" w:leftChars="0" w:firstLine="643"/>
      </w:pPr>
      <w:r>
        <w:rPr>
          <w:rFonts w:hint="eastAsia" w:ascii="楷体_GB2312" w:hAnsi="楷体_GB2312" w:eastAsia="楷体_GB2312" w:cs="楷体_GB2312"/>
          <w:b/>
          <w:bCs w:val="0"/>
          <w:color w:val="auto"/>
          <w:highlight w:val="none"/>
        </w:rPr>
        <w:t>第三条</w:t>
      </w:r>
      <w:r>
        <w:rPr>
          <w:rFonts w:hint="eastAsia"/>
        </w:rPr>
        <w:t xml:space="preserve">  区</w:t>
      </w:r>
      <w:r>
        <w:rPr>
          <w:rFonts w:hint="eastAsia"/>
          <w:lang w:val="en-US" w:eastAsia="zh-CN"/>
        </w:rPr>
        <w:t>企业</w:t>
      </w:r>
      <w:r>
        <w:rPr>
          <w:rFonts w:hint="eastAsia"/>
        </w:rPr>
        <w:t>发展服务中心为本措施的主管部门，区自主创新产业发展专项资金领导小组、</w:t>
      </w:r>
      <w:r>
        <w:rPr>
          <w:rFonts w:hint="eastAsia"/>
          <w:lang w:eastAsia="zh-CN"/>
        </w:rPr>
        <w:t>区企服中心</w:t>
      </w:r>
      <w:r>
        <w:rPr>
          <w:rFonts w:hint="eastAsia"/>
        </w:rPr>
        <w:t>分项资金审批专责小组为本措施的决策审批机构。</w:t>
      </w:r>
    </w:p>
    <w:p>
      <w:pPr>
        <w:keepNext w:val="0"/>
        <w:keepLines w:val="0"/>
        <w:pageBreakBefore w:val="0"/>
        <w:widowControl w:val="0"/>
        <w:wordWrap/>
        <w:topLinePunct w:val="0"/>
        <w:bidi w:val="0"/>
        <w:spacing w:beforeAutospacing="0" w:afterAutospacing="0" w:line="560" w:lineRule="exact"/>
        <w:ind w:left="0" w:leftChars="0" w:firstLine="643"/>
      </w:pPr>
      <w:r>
        <w:rPr>
          <w:rFonts w:hint="eastAsia" w:ascii="楷体_GB2312" w:hAnsi="楷体_GB2312" w:eastAsia="楷体_GB2312" w:cs="楷体_GB2312"/>
          <w:b/>
          <w:bCs w:val="0"/>
          <w:color w:val="auto"/>
          <w:highlight w:val="none"/>
        </w:rPr>
        <w:t>第四条</w:t>
      </w:r>
      <w:r>
        <w:rPr>
          <w:rFonts w:hint="eastAsia"/>
        </w:rPr>
        <w:t xml:space="preserve">  本措施申报主体原则上应符合《南山区自主创新产业发展专项资金管理办法》规定的</w:t>
      </w:r>
      <w:r>
        <w:rPr>
          <w:rFonts w:hint="eastAsia"/>
          <w:lang w:eastAsia="zh-CN"/>
        </w:rPr>
        <w:t>“</w:t>
      </w:r>
      <w:r>
        <w:rPr>
          <w:rFonts w:hint="eastAsia"/>
        </w:rPr>
        <w:t>注册地</w:t>
      </w:r>
      <w:r>
        <w:rPr>
          <w:rFonts w:hint="eastAsia"/>
          <w:lang w:eastAsia="zh-CN"/>
        </w:rPr>
        <w:t>”“</w:t>
      </w:r>
      <w:r>
        <w:rPr>
          <w:rFonts w:hint="eastAsia"/>
        </w:rPr>
        <w:t>独立法人</w:t>
      </w:r>
      <w:r>
        <w:rPr>
          <w:rFonts w:hint="eastAsia"/>
          <w:lang w:eastAsia="zh-CN"/>
        </w:rPr>
        <w:t>”“</w:t>
      </w:r>
      <w:r>
        <w:rPr>
          <w:rFonts w:hint="eastAsia"/>
        </w:rPr>
        <w:t>区级地方财力贡献</w:t>
      </w:r>
      <w:r>
        <w:rPr>
          <w:rFonts w:hint="eastAsia"/>
          <w:lang w:eastAsia="zh-CN"/>
        </w:rPr>
        <w:t>”</w:t>
      </w:r>
      <w:r>
        <w:rPr>
          <w:rFonts w:hint="eastAsia"/>
        </w:rPr>
        <w:t>等相关条件，以下情形除外：</w:t>
      </w:r>
    </w:p>
    <w:p>
      <w:pPr>
        <w:keepNext w:val="0"/>
        <w:keepLines w:val="0"/>
        <w:pageBreakBefore w:val="0"/>
        <w:widowControl w:val="0"/>
        <w:wordWrap/>
        <w:topLinePunct w:val="0"/>
        <w:bidi w:val="0"/>
        <w:spacing w:beforeAutospacing="0" w:afterAutospacing="0" w:line="560" w:lineRule="exact"/>
        <w:ind w:left="0" w:leftChars="0" w:firstLine="640"/>
        <w:rPr>
          <w:rFonts w:hint="eastAsia"/>
        </w:rPr>
      </w:pPr>
      <w:r>
        <w:rPr>
          <w:rFonts w:hint="eastAsia"/>
        </w:rPr>
        <w:t>（一）申请</w:t>
      </w:r>
      <w:r>
        <w:rPr>
          <w:rFonts w:hint="eastAsia"/>
          <w:lang w:val="en-US" w:eastAsia="zh-CN"/>
        </w:rPr>
        <w:t>活动补贴、引荐奖励</w:t>
      </w:r>
      <w:r>
        <w:rPr>
          <w:rFonts w:hint="eastAsia"/>
        </w:rPr>
        <w:t>的机构可不受《南山区自主创新产业发展专项资金管理办法》规定的</w:t>
      </w:r>
      <w:r>
        <w:rPr>
          <w:rFonts w:hint="eastAsia"/>
          <w:lang w:eastAsia="zh-CN"/>
        </w:rPr>
        <w:t>“</w:t>
      </w:r>
      <w:r>
        <w:rPr>
          <w:rFonts w:hint="eastAsia"/>
        </w:rPr>
        <w:t>注册地</w:t>
      </w:r>
      <w:r>
        <w:rPr>
          <w:rFonts w:hint="eastAsia"/>
          <w:lang w:eastAsia="zh-CN"/>
        </w:rPr>
        <w:t>”</w:t>
      </w:r>
      <w:r>
        <w:rPr>
          <w:rFonts w:hint="eastAsia"/>
        </w:rPr>
        <w:t>资格条件限制。</w:t>
      </w:r>
    </w:p>
    <w:p>
      <w:pPr>
        <w:keepNext w:val="0"/>
        <w:keepLines w:val="0"/>
        <w:pageBreakBefore w:val="0"/>
        <w:widowControl w:val="0"/>
        <w:wordWrap/>
        <w:topLinePunct w:val="0"/>
        <w:bidi w:val="0"/>
        <w:spacing w:beforeAutospacing="0" w:afterAutospacing="0" w:line="560" w:lineRule="exact"/>
        <w:ind w:left="0" w:leftChars="0" w:firstLine="640"/>
      </w:pPr>
      <w:r>
        <w:rPr>
          <w:rFonts w:hint="eastAsia"/>
        </w:rPr>
        <w:t>（二）申请落户</w:t>
      </w:r>
      <w:r>
        <w:rPr>
          <w:rFonts w:hint="eastAsia"/>
          <w:lang w:val="en-US" w:eastAsia="zh-CN"/>
        </w:rPr>
        <w:t>奖励</w:t>
      </w:r>
      <w:r>
        <w:rPr>
          <w:rFonts w:hint="eastAsia"/>
        </w:rPr>
        <w:t>、人才安置</w:t>
      </w:r>
      <w:r>
        <w:rPr>
          <w:rFonts w:hint="eastAsia"/>
          <w:lang w:val="en-US" w:eastAsia="zh-CN"/>
        </w:rPr>
        <w:t>补贴</w:t>
      </w:r>
      <w:r>
        <w:rPr>
          <w:rFonts w:hint="eastAsia"/>
          <w:lang w:eastAsia="zh-CN"/>
        </w:rPr>
        <w:t>、</w:t>
      </w:r>
      <w:r>
        <w:rPr>
          <w:rFonts w:hint="eastAsia"/>
          <w:lang w:val="en-US" w:eastAsia="zh-CN"/>
        </w:rPr>
        <w:t>办公用房租赁补贴</w:t>
      </w:r>
      <w:r>
        <w:rPr>
          <w:rFonts w:hint="eastAsia"/>
        </w:rPr>
        <w:t>、</w:t>
      </w:r>
      <w:r>
        <w:rPr>
          <w:rFonts w:hint="eastAsia"/>
          <w:lang w:val="en-US" w:eastAsia="zh-CN"/>
        </w:rPr>
        <w:t>办公用房购置补贴、</w:t>
      </w:r>
      <w:r>
        <w:rPr>
          <w:rFonts w:hint="eastAsia"/>
        </w:rPr>
        <w:t>办公用房装修</w:t>
      </w:r>
      <w:r>
        <w:rPr>
          <w:rFonts w:hint="eastAsia"/>
          <w:lang w:val="en-US" w:eastAsia="zh-CN"/>
        </w:rPr>
        <w:t>补贴</w:t>
      </w:r>
      <w:r>
        <w:rPr>
          <w:rFonts w:hint="eastAsia"/>
        </w:rPr>
        <w:t>的律师事务所、会计师事务所可不受《南山区自主创新产业发展专项资金管理办法》规定的</w:t>
      </w:r>
      <w:r>
        <w:rPr>
          <w:rFonts w:hint="eastAsia"/>
          <w:lang w:eastAsia="zh-CN"/>
        </w:rPr>
        <w:t>“</w:t>
      </w:r>
      <w:r>
        <w:rPr>
          <w:rFonts w:hint="eastAsia"/>
        </w:rPr>
        <w:t>独立法人</w:t>
      </w:r>
      <w:r>
        <w:rPr>
          <w:rFonts w:hint="eastAsia"/>
          <w:lang w:eastAsia="zh-CN"/>
        </w:rPr>
        <w:t>”</w:t>
      </w:r>
      <w:r>
        <w:rPr>
          <w:rFonts w:hint="eastAsia"/>
        </w:rPr>
        <w:t>资格条件限制。</w:t>
      </w:r>
    </w:p>
    <w:p>
      <w:pPr>
        <w:keepNext w:val="0"/>
        <w:keepLines w:val="0"/>
        <w:pageBreakBefore w:val="0"/>
        <w:widowControl w:val="0"/>
        <w:wordWrap/>
        <w:topLinePunct w:val="0"/>
        <w:bidi w:val="0"/>
        <w:spacing w:beforeAutospacing="0" w:afterAutospacing="0" w:line="560" w:lineRule="exact"/>
        <w:ind w:left="0" w:leftChars="0" w:firstLine="640"/>
      </w:pPr>
      <w:r>
        <w:rPr>
          <w:rFonts w:hint="eastAsia"/>
        </w:rPr>
        <w:t>（三）申请落户</w:t>
      </w:r>
      <w:r>
        <w:rPr>
          <w:rFonts w:hint="eastAsia"/>
          <w:lang w:val="en-US" w:eastAsia="zh-CN"/>
        </w:rPr>
        <w:t>奖励</w:t>
      </w:r>
      <w:r>
        <w:rPr>
          <w:rFonts w:hint="eastAsia"/>
        </w:rPr>
        <w:t>、人才安置</w:t>
      </w:r>
      <w:r>
        <w:rPr>
          <w:rFonts w:hint="eastAsia"/>
          <w:lang w:val="en-US" w:eastAsia="zh-CN"/>
        </w:rPr>
        <w:t>补贴</w:t>
      </w:r>
      <w:r>
        <w:rPr>
          <w:rFonts w:hint="eastAsia"/>
        </w:rPr>
        <w:t>、</w:t>
      </w:r>
      <w:r>
        <w:rPr>
          <w:rFonts w:hint="eastAsia"/>
          <w:lang w:val="en-US" w:eastAsia="zh-CN"/>
        </w:rPr>
        <w:t>办公用房租赁补贴</w:t>
      </w:r>
      <w:r>
        <w:rPr>
          <w:rFonts w:hint="eastAsia"/>
        </w:rPr>
        <w:t>、</w:t>
      </w:r>
      <w:r>
        <w:rPr>
          <w:rFonts w:hint="eastAsia"/>
          <w:lang w:val="en-US" w:eastAsia="zh-CN"/>
        </w:rPr>
        <w:t>办公用房购置补贴、</w:t>
      </w:r>
      <w:r>
        <w:rPr>
          <w:rFonts w:hint="eastAsia"/>
        </w:rPr>
        <w:t>办公用房装修</w:t>
      </w:r>
      <w:r>
        <w:rPr>
          <w:rFonts w:hint="eastAsia"/>
          <w:lang w:val="en-US" w:eastAsia="zh-CN"/>
        </w:rPr>
        <w:t>补贴</w:t>
      </w:r>
      <w:r>
        <w:rPr>
          <w:rFonts w:hint="eastAsia"/>
        </w:rPr>
        <w:t>、</w:t>
      </w:r>
      <w:r>
        <w:rPr>
          <w:rFonts w:hint="eastAsia"/>
          <w:lang w:val="en-US" w:eastAsia="zh-CN"/>
        </w:rPr>
        <w:t>外资项目奖励、活动补贴、引荐奖励</w:t>
      </w:r>
      <w:r>
        <w:rPr>
          <w:rFonts w:hint="eastAsia"/>
        </w:rPr>
        <w:t>的企业不受《南山区自主创新产业发展专项资金管理办法》规定的“区级地方财力贡献”限制。</w:t>
      </w:r>
    </w:p>
    <w:p>
      <w:pPr>
        <w:pStyle w:val="2"/>
        <w:keepNext w:val="0"/>
        <w:keepLines w:val="0"/>
        <w:pageBreakBefore w:val="0"/>
        <w:widowControl w:val="0"/>
        <w:wordWrap/>
        <w:topLinePunct w:val="0"/>
        <w:bidi w:val="0"/>
        <w:spacing w:before="0" w:beforeLines="0" w:beforeAutospacing="0" w:after="0" w:afterLines="0" w:afterAutospacing="0" w:line="560" w:lineRule="exact"/>
        <w:ind w:left="0" w:leftChars="0"/>
        <w:rPr>
          <w:rFonts w:hint="eastAsia"/>
        </w:rPr>
      </w:pPr>
      <w:bookmarkStart w:id="2219" w:name="_Toc27063"/>
    </w:p>
    <w:p>
      <w:pPr>
        <w:pStyle w:val="2"/>
        <w:keepNext w:val="0"/>
        <w:keepLines w:val="0"/>
        <w:pageBreakBefore w:val="0"/>
        <w:widowControl w:val="0"/>
        <w:wordWrap/>
        <w:topLinePunct w:val="0"/>
        <w:bidi w:val="0"/>
        <w:spacing w:before="0" w:beforeLines="0" w:beforeAutospacing="0" w:after="0" w:afterLines="0" w:afterAutospacing="0" w:line="560" w:lineRule="exact"/>
        <w:ind w:left="0" w:leftChars="0"/>
      </w:pPr>
      <w:r>
        <w:rPr>
          <w:rFonts w:hint="eastAsia"/>
        </w:rPr>
        <w:t>第</w:t>
      </w:r>
      <w:r>
        <w:rPr>
          <w:rFonts w:hint="eastAsia"/>
          <w:lang w:val="en-US" w:eastAsia="zh-CN"/>
        </w:rPr>
        <w:t>二</w:t>
      </w:r>
      <w:r>
        <w:rPr>
          <w:rFonts w:hint="eastAsia"/>
        </w:rPr>
        <w:t xml:space="preserve">章  </w:t>
      </w:r>
      <w:bookmarkEnd w:id="2217"/>
      <w:bookmarkEnd w:id="2218"/>
      <w:bookmarkStart w:id="2220" w:name="_Toc84849432"/>
      <w:bookmarkStart w:id="2221" w:name="_Toc20771_WPSOffice_Level2"/>
      <w:bookmarkStart w:id="2222" w:name="_Toc17628"/>
      <w:bookmarkStart w:id="2223" w:name="_Toc85104637"/>
      <w:r>
        <w:rPr>
          <w:rFonts w:hint="eastAsia"/>
          <w:lang w:val="en-US" w:eastAsia="zh-CN"/>
        </w:rPr>
        <w:t>措施内容</w:t>
      </w:r>
      <w:bookmarkEnd w:id="2219"/>
    </w:p>
    <w:p>
      <w:pPr>
        <w:keepNext w:val="0"/>
        <w:keepLines w:val="0"/>
        <w:pageBreakBefore w:val="0"/>
        <w:widowControl w:val="0"/>
        <w:wordWrap/>
        <w:topLinePunct w:val="0"/>
        <w:bidi w:val="0"/>
        <w:spacing w:beforeAutospacing="0" w:afterAutospacing="0" w:line="560" w:lineRule="exact"/>
        <w:ind w:left="0" w:leftChars="0" w:firstLine="643" w:firstLineChars="0"/>
        <w:jc w:val="left"/>
        <w:outlineLvl w:val="9"/>
        <w:rPr>
          <w:rFonts w:hint="eastAsia" w:ascii="楷体_GB2312" w:hAnsi="楷体_GB2312" w:eastAsia="楷体_GB2312" w:cs="楷体_GB2312"/>
          <w:b/>
          <w:color w:val="auto"/>
          <w:kern w:val="2"/>
          <w:sz w:val="32"/>
          <w:szCs w:val="24"/>
          <w:highlight w:val="none"/>
          <w:lang w:val="en-US" w:eastAsia="zh-CN" w:bidi="ar-SA"/>
        </w:rPr>
      </w:pPr>
      <w:bookmarkStart w:id="2224" w:name="_Toc16616"/>
      <w:bookmarkStart w:id="2225" w:name="_Toc6501"/>
      <w:bookmarkStart w:id="2226" w:name="_Toc22068"/>
      <w:bookmarkStart w:id="2227" w:name="_Toc10777"/>
      <w:bookmarkStart w:id="2228" w:name="_Toc30398"/>
      <w:bookmarkStart w:id="2229" w:name="_Toc20955"/>
      <w:bookmarkStart w:id="2230" w:name="_Toc84849415"/>
    </w:p>
    <w:p>
      <w:pPr>
        <w:keepNext w:val="0"/>
        <w:keepLines w:val="0"/>
        <w:pageBreakBefore w:val="0"/>
        <w:widowControl w:val="0"/>
        <w:wordWrap/>
        <w:topLinePunct w:val="0"/>
        <w:bidi w:val="0"/>
        <w:spacing w:beforeAutospacing="0" w:afterAutospacing="0" w:line="560" w:lineRule="exact"/>
        <w:ind w:left="0" w:leftChars="0" w:firstLine="643" w:firstLineChars="0"/>
        <w:jc w:val="both"/>
        <w:outlineLvl w:val="9"/>
        <w:rPr>
          <w:rFonts w:hint="eastAsia" w:ascii="楷体_GB2312" w:hAnsi="楷体_GB2312" w:eastAsia="楷体_GB2312" w:cs="楷体_GB2312"/>
          <w:b/>
          <w:color w:val="auto"/>
          <w:kern w:val="2"/>
          <w:sz w:val="32"/>
          <w:szCs w:val="24"/>
          <w:highlight w:val="none"/>
          <w:lang w:val="en-US" w:eastAsia="zh-CN" w:bidi="ar-SA"/>
        </w:rPr>
      </w:pPr>
      <w:r>
        <w:rPr>
          <w:rFonts w:hint="eastAsia" w:ascii="楷体_GB2312" w:hAnsi="楷体_GB2312" w:eastAsia="楷体_GB2312" w:cs="楷体_GB2312"/>
          <w:b/>
          <w:color w:val="auto"/>
          <w:kern w:val="2"/>
          <w:sz w:val="32"/>
          <w:szCs w:val="24"/>
          <w:highlight w:val="none"/>
          <w:lang w:val="en-US" w:eastAsia="zh-CN" w:bidi="ar-SA"/>
        </w:rPr>
        <w:t>第五条  落户</w:t>
      </w:r>
      <w:bookmarkEnd w:id="2224"/>
      <w:bookmarkEnd w:id="2225"/>
      <w:bookmarkEnd w:id="2226"/>
      <w:bookmarkEnd w:id="2227"/>
      <w:r>
        <w:rPr>
          <w:rFonts w:hint="eastAsia" w:ascii="楷体_GB2312" w:hAnsi="楷体_GB2312" w:eastAsia="楷体_GB2312" w:cs="楷体_GB2312"/>
          <w:b/>
          <w:color w:val="auto"/>
          <w:kern w:val="2"/>
          <w:sz w:val="32"/>
          <w:szCs w:val="24"/>
          <w:highlight w:val="none"/>
          <w:lang w:val="en-US" w:eastAsia="zh-CN" w:bidi="ar-SA"/>
        </w:rPr>
        <w:t>奖励</w:t>
      </w:r>
      <w:bookmarkEnd w:id="2228"/>
    </w:p>
    <w:p>
      <w:pPr>
        <w:keepNext w:val="0"/>
        <w:keepLines w:val="0"/>
        <w:pageBreakBefore w:val="0"/>
        <w:widowControl w:val="0"/>
        <w:wordWrap/>
        <w:topLinePunct w:val="0"/>
        <w:bidi w:val="0"/>
        <w:spacing w:beforeAutospacing="0" w:afterAutospacing="0" w:line="560" w:lineRule="exact"/>
        <w:ind w:left="0" w:leftChars="0" w:firstLine="640"/>
        <w:jc w:val="both"/>
      </w:pPr>
      <w:r>
        <w:rPr>
          <w:rFonts w:hint="eastAsia"/>
        </w:rPr>
        <w:t>对新引进企业，依规模和贡献等条件，给予最高</w:t>
      </w:r>
      <w:r>
        <w:rPr>
          <w:rFonts w:hint="eastAsia"/>
          <w:lang w:val="en-US" w:eastAsia="zh-CN"/>
        </w:rPr>
        <w:t>1亿</w:t>
      </w:r>
      <w:r>
        <w:rPr>
          <w:rFonts w:hint="eastAsia"/>
        </w:rPr>
        <w:t>元的一次性落户奖励。</w:t>
      </w:r>
    </w:p>
    <w:bookmarkEnd w:id="2229"/>
    <w:bookmarkEnd w:id="2230"/>
    <w:p>
      <w:pPr>
        <w:keepNext w:val="0"/>
        <w:keepLines w:val="0"/>
        <w:pageBreakBefore w:val="0"/>
        <w:widowControl w:val="0"/>
        <w:wordWrap/>
        <w:topLinePunct w:val="0"/>
        <w:bidi w:val="0"/>
        <w:spacing w:beforeAutospacing="0" w:afterAutospacing="0" w:line="560" w:lineRule="exact"/>
        <w:ind w:left="0" w:leftChars="0" w:firstLine="643" w:firstLineChars="0"/>
        <w:jc w:val="both"/>
        <w:outlineLvl w:val="9"/>
        <w:rPr>
          <w:rFonts w:hint="eastAsia" w:ascii="楷体_GB2312" w:hAnsi="楷体_GB2312" w:eastAsia="楷体_GB2312" w:cs="楷体_GB2312"/>
          <w:b/>
          <w:color w:val="auto"/>
          <w:kern w:val="2"/>
          <w:sz w:val="32"/>
          <w:szCs w:val="24"/>
          <w:highlight w:val="none"/>
          <w:lang w:val="en-US" w:eastAsia="zh-CN" w:bidi="ar-SA"/>
        </w:rPr>
      </w:pPr>
      <w:bookmarkStart w:id="2231" w:name="_Toc9157"/>
      <w:bookmarkStart w:id="2232" w:name="_Toc17003"/>
      <w:bookmarkStart w:id="2233" w:name="_Toc9065"/>
      <w:bookmarkStart w:id="2234" w:name="_Toc1252"/>
      <w:bookmarkStart w:id="2235" w:name="_Toc26603"/>
      <w:bookmarkStart w:id="2236" w:name="_Toc84849416"/>
      <w:r>
        <w:rPr>
          <w:rFonts w:hint="eastAsia" w:ascii="楷体_GB2312" w:hAnsi="楷体_GB2312" w:eastAsia="楷体_GB2312" w:cs="楷体_GB2312"/>
          <w:b/>
          <w:color w:val="auto"/>
          <w:kern w:val="2"/>
          <w:sz w:val="32"/>
          <w:szCs w:val="24"/>
          <w:highlight w:val="none"/>
          <w:lang w:val="en-US" w:eastAsia="zh-CN" w:bidi="ar-SA"/>
        </w:rPr>
        <w:t>第六条  人才安置</w:t>
      </w:r>
      <w:bookmarkEnd w:id="2231"/>
      <w:bookmarkEnd w:id="2232"/>
      <w:bookmarkEnd w:id="2233"/>
      <w:r>
        <w:rPr>
          <w:rFonts w:hint="eastAsia" w:ascii="楷体_GB2312" w:hAnsi="楷体_GB2312" w:eastAsia="楷体_GB2312" w:cs="楷体_GB2312"/>
          <w:b/>
          <w:color w:val="auto"/>
          <w:kern w:val="2"/>
          <w:sz w:val="32"/>
          <w:szCs w:val="24"/>
          <w:highlight w:val="none"/>
          <w:lang w:val="en-US" w:eastAsia="zh-CN" w:bidi="ar-SA"/>
        </w:rPr>
        <w:t>补贴</w:t>
      </w:r>
      <w:bookmarkEnd w:id="2234"/>
    </w:p>
    <w:p>
      <w:pPr>
        <w:keepNext w:val="0"/>
        <w:keepLines w:val="0"/>
        <w:pageBreakBefore w:val="0"/>
        <w:widowControl w:val="0"/>
        <w:wordWrap/>
        <w:topLinePunct w:val="0"/>
        <w:bidi w:val="0"/>
        <w:spacing w:beforeAutospacing="0" w:afterAutospacing="0" w:line="560" w:lineRule="exact"/>
        <w:ind w:left="0" w:leftChars="0" w:firstLine="640"/>
        <w:jc w:val="both"/>
        <w:rPr>
          <w:rFonts w:hint="eastAsia"/>
        </w:rPr>
      </w:pPr>
      <w:r>
        <w:rPr>
          <w:rFonts w:hint="eastAsia"/>
        </w:rPr>
        <w:t>对符合条件的新引进企业，依规模和贡献等条件，给予企业核心人才一次性安置补贴，每家企业最高600万元。</w:t>
      </w:r>
    </w:p>
    <w:p>
      <w:pPr>
        <w:keepNext w:val="0"/>
        <w:keepLines w:val="0"/>
        <w:pageBreakBefore w:val="0"/>
        <w:widowControl w:val="0"/>
        <w:wordWrap/>
        <w:topLinePunct w:val="0"/>
        <w:bidi w:val="0"/>
        <w:spacing w:beforeAutospacing="0" w:afterAutospacing="0" w:line="560" w:lineRule="exact"/>
        <w:ind w:left="0" w:leftChars="0" w:firstLine="643" w:firstLineChars="0"/>
        <w:jc w:val="both"/>
        <w:outlineLvl w:val="9"/>
        <w:rPr>
          <w:rFonts w:hint="eastAsia" w:ascii="楷体_GB2312" w:hAnsi="楷体_GB2312" w:eastAsia="楷体_GB2312" w:cs="楷体_GB2312"/>
          <w:b/>
          <w:color w:val="auto"/>
          <w:kern w:val="2"/>
          <w:sz w:val="32"/>
          <w:szCs w:val="24"/>
          <w:highlight w:val="none"/>
          <w:lang w:val="en-US" w:eastAsia="zh-CN" w:bidi="ar-SA"/>
        </w:rPr>
      </w:pPr>
      <w:bookmarkStart w:id="2237" w:name="_Toc3535"/>
      <w:bookmarkStart w:id="2238" w:name="_Toc16745"/>
      <w:bookmarkStart w:id="2239" w:name="_Toc18087_WPSOffice_Level2"/>
      <w:bookmarkStart w:id="2240" w:name="_Toc9473"/>
      <w:bookmarkStart w:id="2241" w:name="_Toc4550_WPSOffice_Level2"/>
      <w:bookmarkStart w:id="2242" w:name="_Toc5339"/>
      <w:bookmarkStart w:id="2243" w:name="_Toc16876"/>
      <w:bookmarkStart w:id="2244" w:name="_Toc3570"/>
      <w:bookmarkStart w:id="2245" w:name="_Toc84849434"/>
      <w:bookmarkStart w:id="2246" w:name="_Toc8447"/>
      <w:bookmarkStart w:id="2247" w:name="_Toc15513"/>
      <w:bookmarkStart w:id="2248" w:name="_Toc23161"/>
      <w:r>
        <w:rPr>
          <w:rFonts w:hint="eastAsia" w:ascii="楷体_GB2312" w:hAnsi="楷体_GB2312" w:eastAsia="楷体_GB2312" w:cs="楷体_GB2312"/>
          <w:b/>
          <w:color w:val="auto"/>
          <w:kern w:val="2"/>
          <w:sz w:val="32"/>
          <w:szCs w:val="24"/>
          <w:highlight w:val="none"/>
          <w:lang w:val="en-US" w:eastAsia="zh-CN" w:bidi="ar-SA"/>
        </w:rPr>
        <w:t xml:space="preserve">第七条  </w:t>
      </w:r>
      <w:bookmarkEnd w:id="2237"/>
      <w:bookmarkEnd w:id="2238"/>
      <w:bookmarkEnd w:id="2239"/>
      <w:bookmarkEnd w:id="2240"/>
      <w:bookmarkEnd w:id="2241"/>
      <w:bookmarkEnd w:id="2242"/>
      <w:r>
        <w:rPr>
          <w:rFonts w:hint="eastAsia" w:ascii="楷体_GB2312" w:hAnsi="楷体_GB2312" w:eastAsia="楷体_GB2312" w:cs="楷体_GB2312"/>
          <w:b/>
          <w:color w:val="auto"/>
          <w:kern w:val="2"/>
          <w:sz w:val="32"/>
          <w:szCs w:val="24"/>
          <w:highlight w:val="none"/>
          <w:lang w:val="en-US" w:eastAsia="zh-CN" w:bidi="ar-SA"/>
        </w:rPr>
        <w:t>办公用房租赁</w:t>
      </w:r>
      <w:bookmarkEnd w:id="2243"/>
      <w:bookmarkStart w:id="2249" w:name="_Toc64731514"/>
      <w:bookmarkStart w:id="2250" w:name="_Toc6361_WPSOffice_Level3"/>
      <w:r>
        <w:rPr>
          <w:rFonts w:hint="eastAsia" w:ascii="楷体_GB2312" w:hAnsi="楷体_GB2312" w:eastAsia="楷体_GB2312" w:cs="楷体_GB2312"/>
          <w:b/>
          <w:color w:val="auto"/>
          <w:kern w:val="2"/>
          <w:sz w:val="32"/>
          <w:szCs w:val="24"/>
          <w:highlight w:val="none"/>
          <w:lang w:val="en-US" w:eastAsia="zh-CN" w:bidi="ar-SA"/>
        </w:rPr>
        <w:t>补贴</w:t>
      </w:r>
      <w:bookmarkEnd w:id="2244"/>
    </w:p>
    <w:p>
      <w:pPr>
        <w:keepNext w:val="0"/>
        <w:keepLines w:val="0"/>
        <w:pageBreakBefore w:val="0"/>
        <w:widowControl w:val="0"/>
        <w:wordWrap/>
        <w:topLinePunct w:val="0"/>
        <w:bidi w:val="0"/>
        <w:spacing w:beforeAutospacing="0" w:afterAutospacing="0" w:line="560" w:lineRule="exact"/>
        <w:ind w:left="0" w:leftChars="0" w:firstLine="640"/>
        <w:jc w:val="both"/>
      </w:pPr>
      <w:r>
        <w:rPr>
          <w:rFonts w:hint="eastAsia"/>
        </w:rPr>
        <w:t>对符合条件的新引进企业在南山区租赁自用办公用房（不含南山区政策性产业用房）的，按上年度实际支付租金的30%，给予最高</w:t>
      </w:r>
      <w:r>
        <w:rPr>
          <w:rFonts w:hint="eastAsia"/>
          <w:lang w:val="en-US" w:eastAsia="zh-CN"/>
        </w:rPr>
        <w:t>6</w:t>
      </w:r>
      <w:r>
        <w:rPr>
          <w:rFonts w:hint="eastAsia"/>
        </w:rPr>
        <w:t>00万元的一次性补贴。</w:t>
      </w:r>
      <w:bookmarkEnd w:id="2249"/>
      <w:bookmarkEnd w:id="2250"/>
    </w:p>
    <w:bookmarkEnd w:id="2245"/>
    <w:bookmarkEnd w:id="2246"/>
    <w:bookmarkEnd w:id="2247"/>
    <w:p>
      <w:pPr>
        <w:keepNext w:val="0"/>
        <w:keepLines w:val="0"/>
        <w:pageBreakBefore w:val="0"/>
        <w:widowControl w:val="0"/>
        <w:wordWrap/>
        <w:topLinePunct w:val="0"/>
        <w:bidi w:val="0"/>
        <w:spacing w:beforeAutospacing="0" w:afterAutospacing="0" w:line="560" w:lineRule="exact"/>
        <w:ind w:left="0" w:leftChars="0" w:firstLine="643" w:firstLineChars="0"/>
        <w:jc w:val="both"/>
        <w:outlineLvl w:val="9"/>
        <w:rPr>
          <w:rFonts w:hint="eastAsia" w:ascii="楷体_GB2312" w:hAnsi="楷体_GB2312" w:eastAsia="楷体_GB2312" w:cs="楷体_GB2312"/>
          <w:b/>
          <w:color w:val="auto"/>
          <w:kern w:val="2"/>
          <w:sz w:val="32"/>
          <w:szCs w:val="24"/>
          <w:highlight w:val="none"/>
          <w:lang w:val="en-US" w:eastAsia="zh-CN" w:bidi="ar-SA"/>
        </w:rPr>
      </w:pPr>
      <w:bookmarkStart w:id="2251" w:name="_Toc1590"/>
      <w:bookmarkStart w:id="2252" w:name="_Toc7868"/>
      <w:r>
        <w:rPr>
          <w:rFonts w:hint="eastAsia" w:ascii="楷体_GB2312" w:hAnsi="楷体_GB2312" w:eastAsia="楷体_GB2312" w:cs="楷体_GB2312"/>
          <w:b/>
          <w:color w:val="auto"/>
          <w:kern w:val="2"/>
          <w:sz w:val="32"/>
          <w:szCs w:val="24"/>
          <w:highlight w:val="none"/>
          <w:lang w:val="en-US" w:eastAsia="zh-CN" w:bidi="ar-SA"/>
        </w:rPr>
        <w:t>第八条  办公用房</w:t>
      </w:r>
      <w:bookmarkEnd w:id="2251"/>
      <w:r>
        <w:rPr>
          <w:rFonts w:hint="eastAsia" w:ascii="楷体_GB2312" w:hAnsi="楷体_GB2312" w:eastAsia="楷体_GB2312" w:cs="楷体_GB2312"/>
          <w:b/>
          <w:color w:val="auto"/>
          <w:kern w:val="2"/>
          <w:sz w:val="32"/>
          <w:szCs w:val="24"/>
          <w:highlight w:val="none"/>
          <w:lang w:val="en-US" w:eastAsia="zh-CN" w:bidi="ar-SA"/>
        </w:rPr>
        <w:t>购置补贴</w:t>
      </w:r>
      <w:bookmarkEnd w:id="2252"/>
    </w:p>
    <w:p>
      <w:pPr>
        <w:keepNext w:val="0"/>
        <w:keepLines w:val="0"/>
        <w:pageBreakBefore w:val="0"/>
        <w:widowControl w:val="0"/>
        <w:wordWrap/>
        <w:topLinePunct w:val="0"/>
        <w:bidi w:val="0"/>
        <w:spacing w:beforeAutospacing="0" w:afterAutospacing="0" w:line="560" w:lineRule="exact"/>
        <w:ind w:left="0" w:leftChars="0" w:firstLine="640"/>
        <w:jc w:val="both"/>
      </w:pPr>
      <w:r>
        <w:rPr>
          <w:rFonts w:hint="eastAsia"/>
        </w:rPr>
        <w:t>对符合条件的新引进企业在南山区购置自用办公用房（不含南山区政策性产业用房）的，按1500元/平方米的标准，给予最高</w:t>
      </w:r>
      <w:r>
        <w:rPr>
          <w:rFonts w:hint="eastAsia"/>
          <w:lang w:val="en-US" w:eastAsia="zh-CN"/>
        </w:rPr>
        <w:t>20</w:t>
      </w:r>
      <w:r>
        <w:rPr>
          <w:rFonts w:hint="eastAsia"/>
        </w:rPr>
        <w:t>00万元的一次性补贴。</w:t>
      </w:r>
    </w:p>
    <w:p>
      <w:pPr>
        <w:keepNext w:val="0"/>
        <w:keepLines w:val="0"/>
        <w:pageBreakBefore w:val="0"/>
        <w:widowControl w:val="0"/>
        <w:wordWrap/>
        <w:topLinePunct w:val="0"/>
        <w:bidi w:val="0"/>
        <w:spacing w:beforeAutospacing="0" w:afterAutospacing="0" w:line="560" w:lineRule="exact"/>
        <w:ind w:left="0" w:leftChars="0" w:firstLine="643" w:firstLineChars="0"/>
        <w:jc w:val="both"/>
        <w:outlineLvl w:val="9"/>
        <w:rPr>
          <w:rFonts w:hint="eastAsia" w:ascii="楷体_GB2312" w:hAnsi="楷体_GB2312" w:eastAsia="楷体_GB2312" w:cs="楷体_GB2312"/>
          <w:b/>
          <w:color w:val="auto"/>
          <w:kern w:val="2"/>
          <w:sz w:val="32"/>
          <w:szCs w:val="24"/>
          <w:highlight w:val="none"/>
          <w:lang w:val="en-US" w:eastAsia="zh-CN" w:bidi="ar-SA"/>
        </w:rPr>
      </w:pPr>
      <w:bookmarkStart w:id="2253" w:name="_Toc29491"/>
      <w:bookmarkStart w:id="2254" w:name="_Toc22932"/>
      <w:bookmarkStart w:id="2255" w:name="_Toc2518"/>
      <w:bookmarkStart w:id="2256" w:name="_Toc14863"/>
      <w:bookmarkStart w:id="2257" w:name="_Toc21810"/>
      <w:r>
        <w:rPr>
          <w:rFonts w:hint="eastAsia" w:ascii="楷体_GB2312" w:hAnsi="楷体_GB2312" w:eastAsia="楷体_GB2312" w:cs="楷体_GB2312"/>
          <w:b/>
          <w:color w:val="auto"/>
          <w:kern w:val="2"/>
          <w:sz w:val="32"/>
          <w:szCs w:val="24"/>
          <w:highlight w:val="none"/>
          <w:lang w:val="en-US" w:eastAsia="zh-CN" w:bidi="ar-SA"/>
        </w:rPr>
        <w:t>第九条  办公用房</w:t>
      </w:r>
      <w:bookmarkEnd w:id="2253"/>
      <w:bookmarkEnd w:id="2254"/>
      <w:bookmarkEnd w:id="2255"/>
      <w:bookmarkEnd w:id="2256"/>
      <w:r>
        <w:rPr>
          <w:rFonts w:hint="eastAsia" w:ascii="楷体_GB2312" w:hAnsi="楷体_GB2312" w:eastAsia="楷体_GB2312" w:cs="楷体_GB2312"/>
          <w:b/>
          <w:color w:val="auto"/>
          <w:kern w:val="2"/>
          <w:sz w:val="32"/>
          <w:szCs w:val="24"/>
          <w:highlight w:val="none"/>
          <w:lang w:val="en-US" w:eastAsia="zh-CN" w:bidi="ar-SA"/>
        </w:rPr>
        <w:t>装修补贴</w:t>
      </w:r>
      <w:bookmarkEnd w:id="2257"/>
    </w:p>
    <w:p>
      <w:pPr>
        <w:keepNext w:val="0"/>
        <w:keepLines w:val="0"/>
        <w:pageBreakBefore w:val="0"/>
        <w:widowControl w:val="0"/>
        <w:wordWrap/>
        <w:topLinePunct w:val="0"/>
        <w:bidi w:val="0"/>
        <w:spacing w:beforeAutospacing="0" w:afterAutospacing="0" w:line="560" w:lineRule="exact"/>
        <w:ind w:left="0" w:leftChars="0" w:firstLine="640"/>
        <w:jc w:val="both"/>
      </w:pPr>
      <w:r>
        <w:rPr>
          <w:rFonts w:hint="eastAsia"/>
        </w:rPr>
        <w:t>对符合条件的新引进企业在南山区装修自用办公用房的，按500元/平方米的标准，给予最高600万元的一次性补贴。</w:t>
      </w:r>
    </w:p>
    <w:p>
      <w:pPr>
        <w:keepNext w:val="0"/>
        <w:keepLines w:val="0"/>
        <w:pageBreakBefore w:val="0"/>
        <w:widowControl w:val="0"/>
        <w:wordWrap/>
        <w:topLinePunct w:val="0"/>
        <w:bidi w:val="0"/>
        <w:spacing w:beforeAutospacing="0" w:afterAutospacing="0" w:line="560" w:lineRule="exact"/>
        <w:ind w:left="0" w:leftChars="0" w:firstLine="643" w:firstLineChars="0"/>
        <w:jc w:val="both"/>
        <w:outlineLvl w:val="9"/>
        <w:rPr>
          <w:rFonts w:hint="eastAsia" w:ascii="楷体_GB2312" w:hAnsi="楷体_GB2312" w:eastAsia="楷体_GB2312" w:cs="楷体_GB2312"/>
          <w:b/>
          <w:color w:val="auto"/>
          <w:kern w:val="2"/>
          <w:sz w:val="32"/>
          <w:szCs w:val="24"/>
          <w:highlight w:val="none"/>
          <w:lang w:val="en-US" w:eastAsia="zh-CN" w:bidi="ar-SA"/>
        </w:rPr>
      </w:pPr>
      <w:bookmarkStart w:id="2258" w:name="_Toc28990"/>
      <w:r>
        <w:rPr>
          <w:rFonts w:hint="eastAsia" w:ascii="楷体_GB2312" w:hAnsi="楷体_GB2312" w:eastAsia="楷体_GB2312" w:cs="楷体_GB2312"/>
          <w:b/>
          <w:color w:val="auto"/>
          <w:kern w:val="2"/>
          <w:sz w:val="32"/>
          <w:szCs w:val="24"/>
          <w:highlight w:val="none"/>
          <w:lang w:val="en-US" w:eastAsia="zh-CN" w:bidi="ar-SA"/>
        </w:rPr>
        <w:t>第十条  外资项目</w:t>
      </w:r>
      <w:bookmarkEnd w:id="2248"/>
      <w:r>
        <w:rPr>
          <w:rFonts w:hint="eastAsia" w:ascii="楷体_GB2312" w:hAnsi="楷体_GB2312" w:eastAsia="楷体_GB2312" w:cs="楷体_GB2312"/>
          <w:b/>
          <w:color w:val="auto"/>
          <w:kern w:val="2"/>
          <w:sz w:val="32"/>
          <w:szCs w:val="24"/>
          <w:highlight w:val="none"/>
          <w:lang w:val="en-US" w:eastAsia="zh-CN" w:bidi="ar-SA"/>
        </w:rPr>
        <w:t>奖励</w:t>
      </w:r>
      <w:bookmarkEnd w:id="2258"/>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宋体" w:hAnsi="宋体" w:eastAsia="仿宋_GB2312" w:cs="宋体"/>
          <w:kern w:val="0"/>
          <w:sz w:val="24"/>
          <w:szCs w:val="24"/>
          <w:lang w:val="en-US" w:eastAsia="zh-CN" w:bidi="ar-SA"/>
        </w:rPr>
      </w:pPr>
      <w:r>
        <w:rPr>
          <w:rFonts w:hint="eastAsia" w:ascii="仿宋_GB2312" w:hAnsi="宋体" w:eastAsia="仿宋_GB2312" w:cs="宋体"/>
          <w:kern w:val="0"/>
          <w:sz w:val="32"/>
          <w:szCs w:val="32"/>
          <w:lang w:val="en-US" w:eastAsia="zh-CN" w:bidi="ar-SA"/>
        </w:rPr>
        <w:t>对在南山区新注册成立的上年度实际使用外资或增资不少于1000万美元的</w:t>
      </w:r>
      <w:r>
        <w:rPr>
          <w:rFonts w:hint="eastAsia" w:ascii="仿宋_GB2312" w:hAnsi="宋体" w:eastAsia="仿宋_GB2312" w:cs="宋体"/>
          <w:b w:val="0"/>
          <w:bCs w:val="0"/>
          <w:kern w:val="0"/>
          <w:sz w:val="32"/>
          <w:szCs w:val="32"/>
          <w:lang w:val="en-US" w:eastAsia="zh-CN" w:bidi="ar-SA"/>
        </w:rPr>
        <w:t>外商投资企业，</w:t>
      </w:r>
      <w:r>
        <w:rPr>
          <w:rFonts w:hint="eastAsia" w:ascii="仿宋_GB2312" w:hAnsi="宋体" w:eastAsia="仿宋_GB2312" w:cs="宋体"/>
          <w:kern w:val="0"/>
          <w:sz w:val="32"/>
          <w:szCs w:val="32"/>
          <w:lang w:val="en-US" w:eastAsia="zh-CN" w:bidi="ar-SA"/>
        </w:rPr>
        <w:t>按其年度实际使用外资金额的1%，</w:t>
      </w:r>
      <w:r>
        <w:rPr>
          <w:rFonts w:hint="eastAsia" w:ascii="仿宋_GB2312" w:hAnsi="宋体" w:cs="宋体"/>
          <w:kern w:val="0"/>
          <w:sz w:val="32"/>
          <w:szCs w:val="32"/>
          <w:lang w:val="en-US" w:eastAsia="zh-CN" w:bidi="ar-SA"/>
        </w:rPr>
        <w:t>给予</w:t>
      </w:r>
      <w:r>
        <w:rPr>
          <w:rFonts w:hint="eastAsia" w:ascii="仿宋_GB2312" w:hAnsi="宋体" w:eastAsia="仿宋_GB2312" w:cs="宋体"/>
          <w:kern w:val="0"/>
          <w:sz w:val="32"/>
          <w:szCs w:val="32"/>
          <w:lang w:val="en-US" w:eastAsia="zh-CN" w:bidi="ar-SA"/>
        </w:rPr>
        <w:t>最高1000万元</w:t>
      </w:r>
      <w:r>
        <w:rPr>
          <w:rFonts w:hint="eastAsia" w:ascii="仿宋_GB2312" w:hAnsi="宋体" w:cs="宋体"/>
          <w:kern w:val="0"/>
          <w:sz w:val="32"/>
          <w:szCs w:val="32"/>
          <w:lang w:val="en-US" w:eastAsia="zh-CN" w:bidi="ar-SA"/>
        </w:rPr>
        <w:t>的奖励</w:t>
      </w:r>
      <w:r>
        <w:rPr>
          <w:rFonts w:hint="eastAsia" w:ascii="仿宋_GB2312" w:hAnsi="宋体" w:eastAsia="仿宋_GB2312" w:cs="宋体"/>
          <w:kern w:val="0"/>
          <w:sz w:val="32"/>
          <w:szCs w:val="32"/>
          <w:lang w:val="en-US" w:eastAsia="zh-CN" w:bidi="ar-SA"/>
        </w:rPr>
        <w:t>。</w:t>
      </w:r>
    </w:p>
    <w:p>
      <w:pPr>
        <w:keepNext w:val="0"/>
        <w:keepLines w:val="0"/>
        <w:pageBreakBefore w:val="0"/>
        <w:widowControl w:val="0"/>
        <w:wordWrap/>
        <w:topLinePunct w:val="0"/>
        <w:bidi w:val="0"/>
        <w:spacing w:beforeAutospacing="0" w:afterAutospacing="0" w:line="560" w:lineRule="exact"/>
        <w:ind w:left="0" w:leftChars="0" w:firstLine="643" w:firstLineChars="0"/>
        <w:jc w:val="both"/>
        <w:outlineLvl w:val="9"/>
        <w:rPr>
          <w:rFonts w:hint="eastAsia" w:ascii="楷体_GB2312" w:hAnsi="楷体_GB2312" w:eastAsia="楷体_GB2312" w:cs="楷体_GB2312"/>
          <w:b/>
          <w:color w:val="auto"/>
          <w:kern w:val="2"/>
          <w:sz w:val="32"/>
          <w:szCs w:val="24"/>
          <w:highlight w:val="none"/>
          <w:lang w:val="en-US" w:eastAsia="zh-CN" w:bidi="ar-SA"/>
        </w:rPr>
      </w:pPr>
      <w:bookmarkStart w:id="2259" w:name="_Toc12544"/>
      <w:r>
        <w:rPr>
          <w:rFonts w:hint="eastAsia" w:ascii="楷体_GB2312" w:hAnsi="楷体_GB2312" w:eastAsia="楷体_GB2312" w:cs="楷体_GB2312"/>
          <w:b/>
          <w:color w:val="auto"/>
          <w:kern w:val="2"/>
          <w:sz w:val="32"/>
          <w:szCs w:val="24"/>
          <w:highlight w:val="none"/>
          <w:lang w:val="en-US" w:eastAsia="zh-CN" w:bidi="ar-SA"/>
        </w:rPr>
        <w:t xml:space="preserve">第十一条  </w:t>
      </w:r>
      <w:bookmarkEnd w:id="2235"/>
      <w:bookmarkEnd w:id="2236"/>
      <w:r>
        <w:rPr>
          <w:rFonts w:hint="eastAsia" w:ascii="楷体_GB2312" w:hAnsi="楷体_GB2312" w:eastAsia="楷体_GB2312" w:cs="楷体_GB2312"/>
          <w:b/>
          <w:color w:val="auto"/>
          <w:kern w:val="2"/>
          <w:sz w:val="32"/>
          <w:szCs w:val="24"/>
          <w:highlight w:val="none"/>
          <w:lang w:val="en-US" w:eastAsia="zh-CN" w:bidi="ar-SA"/>
        </w:rPr>
        <w:t>活动补贴</w:t>
      </w:r>
      <w:bookmarkEnd w:id="2259"/>
    </w:p>
    <w:p>
      <w:pPr>
        <w:keepNext w:val="0"/>
        <w:keepLines w:val="0"/>
        <w:pageBreakBefore w:val="0"/>
        <w:widowControl w:val="0"/>
        <w:wordWrap/>
        <w:topLinePunct w:val="0"/>
        <w:bidi w:val="0"/>
        <w:spacing w:beforeAutospacing="0" w:afterAutospacing="0" w:line="560" w:lineRule="exact"/>
        <w:ind w:left="0" w:leftChars="0" w:firstLine="640"/>
        <w:jc w:val="both"/>
      </w:pPr>
      <w:r>
        <w:rPr>
          <w:rFonts w:hint="eastAsia"/>
        </w:rPr>
        <w:t>鼓励</w:t>
      </w:r>
      <w:r>
        <w:rPr>
          <w:rFonts w:hint="eastAsia"/>
          <w:lang w:val="en-US" w:eastAsia="zh-CN"/>
        </w:rPr>
        <w:t>行业协会</w:t>
      </w:r>
      <w:r>
        <w:rPr>
          <w:rFonts w:hint="eastAsia"/>
        </w:rPr>
        <w:t>、专业</w:t>
      </w:r>
      <w:r>
        <w:rPr>
          <w:rFonts w:hint="eastAsia"/>
          <w:lang w:val="en-US" w:eastAsia="zh-CN"/>
        </w:rPr>
        <w:t>服务</w:t>
      </w:r>
      <w:r>
        <w:rPr>
          <w:rFonts w:hint="eastAsia"/>
        </w:rPr>
        <w:t>机构及企业</w:t>
      </w:r>
      <w:r>
        <w:rPr>
          <w:rFonts w:hint="eastAsia"/>
          <w:lang w:val="en-US" w:eastAsia="zh-CN"/>
        </w:rPr>
        <w:t>等社会力量</w:t>
      </w:r>
      <w:r>
        <w:rPr>
          <w:rFonts w:hint="eastAsia"/>
        </w:rPr>
        <w:t>开展招商推介活动。对举办重大招商推介活动的承办方</w:t>
      </w:r>
      <w:r>
        <w:rPr>
          <w:rFonts w:hint="eastAsia"/>
          <w:lang w:eastAsia="zh-CN"/>
        </w:rPr>
        <w:t>，</w:t>
      </w:r>
      <w:r>
        <w:rPr>
          <w:rFonts w:hint="eastAsia"/>
        </w:rPr>
        <w:t>按审计核定的活动实际支出费用</w:t>
      </w:r>
      <w:r>
        <w:rPr>
          <w:rFonts w:hint="eastAsia"/>
          <w:lang w:eastAsia="zh-CN"/>
        </w:rPr>
        <w:t>，</w:t>
      </w:r>
      <w:r>
        <w:rPr>
          <w:rFonts w:hint="eastAsia"/>
        </w:rPr>
        <w:t>给予年度最高500万元的支持；对在展会、峰会等活动中开展专题招商推介活动的主办方，按审计核定的活动实际支出费用的50%，给予年度最高100万元的支持。</w:t>
      </w:r>
    </w:p>
    <w:p>
      <w:pPr>
        <w:keepNext w:val="0"/>
        <w:keepLines w:val="0"/>
        <w:pageBreakBefore w:val="0"/>
        <w:widowControl w:val="0"/>
        <w:wordWrap/>
        <w:topLinePunct w:val="0"/>
        <w:bidi w:val="0"/>
        <w:spacing w:beforeAutospacing="0" w:afterAutospacing="0" w:line="560" w:lineRule="exact"/>
        <w:ind w:left="0" w:leftChars="0" w:firstLine="643" w:firstLineChars="0"/>
        <w:jc w:val="both"/>
        <w:outlineLvl w:val="9"/>
        <w:rPr>
          <w:rFonts w:hint="eastAsia" w:ascii="楷体_GB2312" w:hAnsi="楷体_GB2312" w:eastAsia="楷体_GB2312" w:cs="楷体_GB2312"/>
          <w:b/>
          <w:color w:val="auto"/>
          <w:kern w:val="2"/>
          <w:sz w:val="32"/>
          <w:szCs w:val="24"/>
          <w:highlight w:val="none"/>
          <w:lang w:val="en-US" w:eastAsia="zh-CN" w:bidi="ar-SA"/>
        </w:rPr>
      </w:pPr>
      <w:bookmarkStart w:id="2260" w:name="_Toc32638"/>
      <w:r>
        <w:rPr>
          <w:rFonts w:hint="eastAsia" w:ascii="楷体_GB2312" w:hAnsi="楷体_GB2312" w:eastAsia="楷体_GB2312" w:cs="楷体_GB2312"/>
          <w:b/>
          <w:color w:val="auto"/>
          <w:kern w:val="2"/>
          <w:sz w:val="32"/>
          <w:szCs w:val="24"/>
          <w:highlight w:val="none"/>
          <w:lang w:val="en-US" w:eastAsia="zh-CN" w:bidi="ar-SA"/>
        </w:rPr>
        <w:t>第十二条  引荐奖励</w:t>
      </w:r>
      <w:bookmarkEnd w:id="2260"/>
    </w:p>
    <w:p>
      <w:pPr>
        <w:keepNext w:val="0"/>
        <w:keepLines w:val="0"/>
        <w:pageBreakBefore w:val="0"/>
        <w:widowControl w:val="0"/>
        <w:wordWrap/>
        <w:topLinePunct w:val="0"/>
        <w:bidi w:val="0"/>
        <w:spacing w:beforeAutospacing="0" w:afterAutospacing="0" w:line="560" w:lineRule="exact"/>
        <w:ind w:left="0" w:leftChars="0"/>
        <w:jc w:val="both"/>
      </w:pPr>
      <w:r>
        <w:rPr>
          <w:rFonts w:hint="eastAsia"/>
          <w:lang w:val="en-US" w:eastAsia="zh-CN"/>
        </w:rPr>
        <w:t>经区主管部门事先备案，对境内机构或个人引荐并促成重大招商项目（非金融企业）落户南山区的，给予一定奖励。</w:t>
      </w:r>
    </w:p>
    <w:bookmarkEnd w:id="2220"/>
    <w:bookmarkEnd w:id="2221"/>
    <w:bookmarkEnd w:id="2222"/>
    <w:bookmarkEnd w:id="2223"/>
    <w:p>
      <w:pPr>
        <w:keepNext w:val="0"/>
        <w:keepLines w:val="0"/>
        <w:pageBreakBefore w:val="0"/>
        <w:widowControl w:val="0"/>
        <w:wordWrap/>
        <w:topLinePunct w:val="0"/>
        <w:bidi w:val="0"/>
        <w:spacing w:beforeAutospacing="0" w:afterAutospacing="0" w:line="560" w:lineRule="exact"/>
        <w:ind w:left="0" w:leftChars="0" w:firstLine="0" w:firstLineChars="0"/>
        <w:jc w:val="center"/>
        <w:outlineLvl w:val="0"/>
        <w:rPr>
          <w:rFonts w:hint="eastAsia" w:ascii="Arial" w:hAnsi="Arial" w:eastAsia="黑体" w:cstheme="minorBidi"/>
          <w:b/>
          <w:kern w:val="44"/>
          <w:sz w:val="32"/>
          <w:szCs w:val="24"/>
          <w:lang w:val="en-US" w:eastAsia="zh-CN" w:bidi="ar-SA"/>
        </w:rPr>
      </w:pPr>
      <w:bookmarkStart w:id="2261" w:name="_Toc18201"/>
      <w:bookmarkStart w:id="2262" w:name="_Toc20069"/>
      <w:bookmarkStart w:id="2263" w:name="_Toc3600"/>
    </w:p>
    <w:p>
      <w:pPr>
        <w:keepNext w:val="0"/>
        <w:keepLines w:val="0"/>
        <w:pageBreakBefore w:val="0"/>
        <w:widowControl w:val="0"/>
        <w:wordWrap/>
        <w:topLinePunct w:val="0"/>
        <w:bidi w:val="0"/>
        <w:spacing w:beforeAutospacing="0" w:afterAutospacing="0" w:line="560" w:lineRule="exact"/>
        <w:ind w:left="0" w:leftChars="0" w:firstLine="0" w:firstLineChars="0"/>
        <w:jc w:val="center"/>
        <w:outlineLvl w:val="0"/>
        <w:rPr>
          <w:rFonts w:ascii="Arial" w:hAnsi="Arial" w:eastAsia="黑体" w:cstheme="minorBidi"/>
          <w:b/>
          <w:kern w:val="44"/>
          <w:sz w:val="32"/>
          <w:szCs w:val="24"/>
          <w:lang w:val="en-US" w:eastAsia="zh-CN" w:bidi="ar-SA"/>
        </w:rPr>
      </w:pPr>
      <w:r>
        <w:rPr>
          <w:rFonts w:hint="eastAsia" w:ascii="Arial" w:hAnsi="Arial" w:eastAsia="黑体" w:cstheme="minorBidi"/>
          <w:b w:val="0"/>
          <w:bCs/>
          <w:kern w:val="44"/>
          <w:sz w:val="32"/>
          <w:szCs w:val="24"/>
          <w:lang w:val="en-US" w:eastAsia="zh-CN" w:bidi="ar-SA"/>
        </w:rPr>
        <w:t>第三章  附  则</w:t>
      </w:r>
      <w:bookmarkEnd w:id="2261"/>
      <w:bookmarkEnd w:id="2262"/>
      <w:bookmarkEnd w:id="2263"/>
      <w:r>
        <w:rPr>
          <w:rFonts w:hint="eastAsia" w:ascii="Arial" w:hAnsi="Arial" w:eastAsia="黑体" w:cstheme="minorBidi"/>
          <w:b/>
          <w:kern w:val="44"/>
          <w:sz w:val="32"/>
          <w:szCs w:val="24"/>
          <w:lang w:val="en-US" w:eastAsia="zh-CN" w:bidi="ar-SA"/>
        </w:rPr>
        <w:t xml:space="preserve">  </w:t>
      </w:r>
    </w:p>
    <w:p>
      <w:pPr>
        <w:keepNext w:val="0"/>
        <w:keepLines w:val="0"/>
        <w:pageBreakBefore w:val="0"/>
        <w:widowControl w:val="0"/>
        <w:wordWrap/>
        <w:topLinePunct w:val="0"/>
        <w:bidi w:val="0"/>
        <w:spacing w:beforeAutospacing="0" w:afterAutospacing="0" w:line="560" w:lineRule="exact"/>
        <w:ind w:left="0" w:leftChars="0" w:firstLine="643"/>
        <w:rPr>
          <w:rFonts w:hint="eastAsia" w:ascii="楷体_GB2312" w:hAnsi="楷体_GB2312" w:eastAsia="楷体_GB2312" w:cs="楷体_GB2312"/>
          <w:b/>
          <w:bCs w:val="0"/>
          <w:color w:val="auto"/>
          <w:highlight w:val="none"/>
        </w:rPr>
      </w:pPr>
    </w:p>
    <w:p>
      <w:pPr>
        <w:keepNext w:val="0"/>
        <w:keepLines w:val="0"/>
        <w:pageBreakBefore w:val="0"/>
        <w:widowControl w:val="0"/>
        <w:wordWrap/>
        <w:topLinePunct w:val="0"/>
        <w:bidi w:val="0"/>
        <w:spacing w:beforeAutospacing="0" w:afterAutospacing="0" w:line="560" w:lineRule="exact"/>
        <w:ind w:left="0" w:leftChars="0" w:firstLine="643"/>
      </w:pPr>
      <w:r>
        <w:rPr>
          <w:rFonts w:hint="eastAsia" w:ascii="楷体_GB2312" w:hAnsi="楷体_GB2312" w:eastAsia="楷体_GB2312" w:cs="楷体_GB2312"/>
          <w:b/>
          <w:bCs w:val="0"/>
          <w:color w:val="auto"/>
          <w:highlight w:val="none"/>
        </w:rPr>
        <w:t>第</w:t>
      </w:r>
      <w:r>
        <w:rPr>
          <w:rFonts w:hint="eastAsia" w:ascii="楷体_GB2312" w:hAnsi="楷体_GB2312" w:eastAsia="楷体_GB2312" w:cs="楷体_GB2312"/>
          <w:b/>
          <w:bCs w:val="0"/>
          <w:color w:val="auto"/>
          <w:highlight w:val="none"/>
          <w:lang w:val="en-US" w:eastAsia="zh-CN"/>
        </w:rPr>
        <w:t>十三</w:t>
      </w:r>
      <w:r>
        <w:rPr>
          <w:rFonts w:hint="eastAsia" w:ascii="楷体_GB2312" w:hAnsi="楷体_GB2312" w:eastAsia="楷体_GB2312" w:cs="楷体_GB2312"/>
          <w:b/>
          <w:bCs w:val="0"/>
          <w:color w:val="auto"/>
          <w:highlight w:val="none"/>
        </w:rPr>
        <w:t>条</w:t>
      </w:r>
      <w:r>
        <w:rPr>
          <w:rFonts w:hint="eastAsia" w:eastAsia="仿宋_GB2312" w:asciiTheme="minorHAnsi"/>
          <w:b/>
          <w:bCs/>
          <w:lang w:val="en-US" w:eastAsia="zh-CN"/>
        </w:rPr>
        <w:t xml:space="preserve">  </w:t>
      </w:r>
      <w:r>
        <w:rPr>
          <w:rFonts w:hint="eastAsia"/>
        </w:rPr>
        <w:t>本措施尚未涵盖但对辖区经济</w:t>
      </w:r>
      <w:r>
        <w:t>发展</w:t>
      </w:r>
      <w:r>
        <w:rPr>
          <w:rFonts w:hint="eastAsia"/>
        </w:rPr>
        <w:t>有重要影响的事项或上级部门有明确要求的事项，由相关单位直接向区主管部门提出申请，主管部门提出受理意见，按“一事一议”的方式报区自主创新产业发展专项资金领导小组会议审议。</w:t>
      </w:r>
    </w:p>
    <w:p>
      <w:pPr>
        <w:keepNext w:val="0"/>
        <w:keepLines w:val="0"/>
        <w:pageBreakBefore w:val="0"/>
        <w:widowControl w:val="0"/>
        <w:wordWrap/>
        <w:topLinePunct w:val="0"/>
        <w:bidi w:val="0"/>
        <w:spacing w:beforeAutospacing="0" w:afterAutospacing="0" w:line="560" w:lineRule="exact"/>
        <w:ind w:left="0" w:leftChars="0" w:firstLine="643"/>
        <w:rPr>
          <w:rFonts w:hint="eastAsia"/>
        </w:rPr>
      </w:pPr>
      <w:r>
        <w:rPr>
          <w:rFonts w:hint="eastAsia" w:ascii="楷体_GB2312" w:hAnsi="楷体_GB2312" w:eastAsia="楷体_GB2312" w:cs="楷体_GB2312"/>
          <w:b/>
          <w:bCs w:val="0"/>
          <w:color w:val="auto"/>
          <w:highlight w:val="none"/>
        </w:rPr>
        <w:t>第</w:t>
      </w:r>
      <w:r>
        <w:rPr>
          <w:rFonts w:hint="eastAsia" w:ascii="楷体_GB2312" w:hAnsi="楷体_GB2312" w:eastAsia="楷体_GB2312" w:cs="楷体_GB2312"/>
          <w:b/>
          <w:bCs w:val="0"/>
          <w:color w:val="auto"/>
          <w:highlight w:val="none"/>
          <w:lang w:val="en-US" w:eastAsia="zh-CN"/>
        </w:rPr>
        <w:t>十四</w:t>
      </w:r>
      <w:r>
        <w:rPr>
          <w:rFonts w:hint="eastAsia" w:ascii="楷体_GB2312" w:hAnsi="楷体_GB2312" w:eastAsia="楷体_GB2312" w:cs="楷体_GB2312"/>
          <w:b/>
          <w:bCs w:val="0"/>
          <w:color w:val="auto"/>
          <w:highlight w:val="none"/>
        </w:rPr>
        <w:t>条</w:t>
      </w:r>
      <w:r>
        <w:t xml:space="preserve">  </w:t>
      </w:r>
      <w:r>
        <w:rPr>
          <w:rFonts w:hint="eastAsia"/>
        </w:rPr>
        <w:t>本措施自发布之日起施行，有效期三年。</w:t>
      </w:r>
    </w:p>
    <w:p>
      <w:pPr>
        <w:keepNext w:val="0"/>
        <w:keepLines w:val="0"/>
        <w:pageBreakBefore w:val="0"/>
        <w:widowControl w:val="0"/>
        <w:wordWrap/>
        <w:topLinePunct w:val="0"/>
        <w:bidi w:val="0"/>
        <w:spacing w:beforeAutospacing="0" w:afterAutospacing="0" w:line="560" w:lineRule="exact"/>
        <w:ind w:left="0" w:leftChars="0" w:firstLine="643"/>
        <w:rPr>
          <w:rFonts w:hint="eastAsia"/>
        </w:rPr>
      </w:pPr>
      <w:r>
        <w:rPr>
          <w:rFonts w:hint="eastAsia" w:ascii="楷体_GB2312" w:hAnsi="楷体_GB2312" w:eastAsia="楷体_GB2312" w:cs="楷体_GB2312"/>
          <w:b/>
          <w:bCs w:val="0"/>
          <w:color w:val="auto"/>
          <w:highlight w:val="none"/>
        </w:rPr>
        <w:t>第</w:t>
      </w:r>
      <w:r>
        <w:rPr>
          <w:rFonts w:hint="eastAsia" w:ascii="楷体_GB2312" w:hAnsi="楷体_GB2312" w:eastAsia="楷体_GB2312" w:cs="楷体_GB2312"/>
          <w:b/>
          <w:bCs w:val="0"/>
          <w:color w:val="auto"/>
          <w:highlight w:val="none"/>
          <w:lang w:val="en-US" w:eastAsia="zh-CN"/>
        </w:rPr>
        <w:t>十五</w:t>
      </w:r>
      <w:r>
        <w:rPr>
          <w:rFonts w:hint="eastAsia" w:ascii="楷体_GB2312" w:hAnsi="楷体_GB2312" w:eastAsia="楷体_GB2312" w:cs="楷体_GB2312"/>
          <w:b/>
          <w:bCs w:val="0"/>
          <w:color w:val="auto"/>
          <w:highlight w:val="none"/>
        </w:rPr>
        <w:t>条</w:t>
      </w:r>
      <w:r>
        <w:rPr>
          <w:rFonts w:hint="eastAsia" w:ascii="楷体_GB2312" w:hAnsi="楷体_GB2312" w:eastAsia="楷体_GB2312" w:cs="楷体_GB2312"/>
          <w:b/>
          <w:color w:val="auto"/>
          <w:highlight w:val="none"/>
        </w:rPr>
        <w:t xml:space="preserve"> </w:t>
      </w:r>
      <w:r>
        <w:rPr>
          <w:rFonts w:hint="eastAsia"/>
        </w:rPr>
        <w:t xml:space="preserve"> 本措施由区</w:t>
      </w:r>
      <w:r>
        <w:rPr>
          <w:rFonts w:hint="eastAsia"/>
          <w:lang w:val="en-US" w:eastAsia="zh-CN"/>
        </w:rPr>
        <w:t>企</w:t>
      </w:r>
      <w:r>
        <w:rPr>
          <w:rFonts w:hint="eastAsia"/>
        </w:rPr>
        <w:t>服中心负责解释，制定与本措施相关的操作规程。</w:t>
      </w:r>
    </w:p>
    <w:p>
      <w:pPr>
        <w:pStyle w:val="2"/>
        <w:keepNext w:val="0"/>
        <w:keepLines w:val="0"/>
        <w:pageBreakBefore w:val="0"/>
        <w:widowControl w:val="0"/>
        <w:wordWrap/>
        <w:topLinePunct w:val="0"/>
        <w:bidi w:val="0"/>
        <w:spacing w:before="0" w:beforeLines="0" w:beforeAutospacing="0" w:after="0" w:afterLines="0" w:afterAutospacing="0" w:line="560" w:lineRule="exact"/>
        <w:ind w:left="0" w:leftChars="0"/>
        <w:rPr>
          <w:rFonts w:hint="eastAsia"/>
        </w:rPr>
      </w:pPr>
    </w:p>
    <w:p>
      <w:pPr>
        <w:keepNext w:val="0"/>
        <w:keepLines w:val="0"/>
        <w:pageBreakBefore w:val="0"/>
        <w:widowControl w:val="0"/>
        <w:wordWrap/>
        <w:topLinePunct w:val="0"/>
        <w:bidi w:val="0"/>
        <w:spacing w:beforeAutospacing="0" w:afterAutospacing="0" w:line="560" w:lineRule="exact"/>
        <w:ind w:left="0" w:leftChars="0"/>
        <w:rPr>
          <w:rFonts w:hint="eastAsia"/>
        </w:rPr>
      </w:pPr>
    </w:p>
    <w:p>
      <w:pPr>
        <w:pStyle w:val="2"/>
        <w:keepNext w:val="0"/>
        <w:keepLines w:val="0"/>
        <w:pageBreakBefore w:val="0"/>
        <w:widowControl w:val="0"/>
        <w:wordWrap/>
        <w:topLinePunct w:val="0"/>
        <w:bidi w:val="0"/>
        <w:spacing w:before="0" w:beforeLines="0" w:beforeAutospacing="0" w:after="0" w:afterLines="0" w:afterAutospacing="0" w:line="560" w:lineRule="exact"/>
        <w:ind w:left="0" w:leftChars="0"/>
        <w:rPr>
          <w:rFonts w:hint="eastAsia"/>
        </w:rPr>
      </w:pPr>
    </w:p>
    <w:p>
      <w:pPr>
        <w:keepNext w:val="0"/>
        <w:keepLines w:val="0"/>
        <w:pageBreakBefore w:val="0"/>
        <w:widowControl w:val="0"/>
        <w:wordWrap/>
        <w:topLinePunct w:val="0"/>
        <w:bidi w:val="0"/>
        <w:spacing w:beforeAutospacing="0" w:afterAutospacing="0" w:line="560" w:lineRule="exact"/>
        <w:ind w:left="0" w:leftChars="0"/>
        <w:rPr>
          <w:rFonts w:hint="eastAsia"/>
        </w:rPr>
      </w:pPr>
    </w:p>
    <w:p>
      <w:pPr>
        <w:pStyle w:val="2"/>
        <w:keepNext w:val="0"/>
        <w:keepLines w:val="0"/>
        <w:pageBreakBefore w:val="0"/>
        <w:widowControl w:val="0"/>
        <w:wordWrap/>
        <w:topLinePunct w:val="0"/>
        <w:bidi w:val="0"/>
        <w:spacing w:before="0" w:beforeLines="0" w:beforeAutospacing="0" w:after="0" w:afterLines="0" w:afterAutospacing="0" w:line="560" w:lineRule="exact"/>
        <w:ind w:left="0" w:leftChars="0"/>
        <w:rPr>
          <w:rFonts w:hint="eastAsia"/>
        </w:rPr>
      </w:pPr>
    </w:p>
    <w:p>
      <w:pPr>
        <w:keepNext w:val="0"/>
        <w:keepLines w:val="0"/>
        <w:pageBreakBefore w:val="0"/>
        <w:widowControl w:val="0"/>
        <w:wordWrap/>
        <w:topLinePunct w:val="0"/>
        <w:bidi w:val="0"/>
        <w:spacing w:beforeAutospacing="0" w:afterAutospacing="0" w:line="560" w:lineRule="exact"/>
        <w:ind w:left="0" w:leftChars="0"/>
        <w:rPr>
          <w:rFonts w:hint="eastAsia"/>
        </w:rPr>
      </w:pPr>
    </w:p>
    <w:p>
      <w:pPr>
        <w:pStyle w:val="2"/>
        <w:keepNext w:val="0"/>
        <w:keepLines w:val="0"/>
        <w:pageBreakBefore w:val="0"/>
        <w:widowControl w:val="0"/>
        <w:wordWrap/>
        <w:topLinePunct w:val="0"/>
        <w:bidi w:val="0"/>
        <w:spacing w:before="0" w:beforeLines="0" w:beforeAutospacing="0" w:after="0" w:afterLines="0" w:afterAutospacing="0" w:line="560" w:lineRule="exact"/>
        <w:ind w:left="0" w:leftChars="0"/>
        <w:rPr>
          <w:rFonts w:hint="eastAsia"/>
        </w:rPr>
      </w:pPr>
    </w:p>
    <w:p>
      <w:pPr>
        <w:keepNext w:val="0"/>
        <w:keepLines w:val="0"/>
        <w:pageBreakBefore w:val="0"/>
        <w:widowControl w:val="0"/>
        <w:wordWrap/>
        <w:topLinePunct w:val="0"/>
        <w:bidi w:val="0"/>
        <w:spacing w:beforeAutospacing="0" w:afterAutospacing="0" w:line="560" w:lineRule="exact"/>
        <w:ind w:left="0" w:leftChars="0"/>
        <w:rPr>
          <w:rFonts w:hint="eastAsia"/>
        </w:rPr>
      </w:pPr>
    </w:p>
    <w:p>
      <w:pPr>
        <w:pStyle w:val="2"/>
        <w:keepNext w:val="0"/>
        <w:keepLines w:val="0"/>
        <w:pageBreakBefore w:val="0"/>
        <w:widowControl w:val="0"/>
        <w:wordWrap/>
        <w:topLinePunct w:val="0"/>
        <w:bidi w:val="0"/>
        <w:spacing w:before="0" w:beforeLines="0" w:beforeAutospacing="0" w:after="0" w:afterLines="0" w:afterAutospacing="0" w:line="560" w:lineRule="exact"/>
        <w:ind w:left="0" w:leftChars="0"/>
        <w:rPr>
          <w:rFonts w:hint="eastAsia"/>
        </w:rPr>
      </w:pPr>
    </w:p>
    <w:p>
      <w:pPr>
        <w:keepNext w:val="0"/>
        <w:keepLines w:val="0"/>
        <w:pageBreakBefore w:val="0"/>
        <w:widowControl w:val="0"/>
        <w:wordWrap/>
        <w:topLinePunct w:val="0"/>
        <w:bidi w:val="0"/>
        <w:spacing w:beforeAutospacing="0" w:afterAutospacing="0" w:line="560" w:lineRule="exact"/>
        <w:ind w:left="0" w:leftChars="0"/>
        <w:rPr>
          <w:rFonts w:hint="eastAsia"/>
        </w:rPr>
      </w:pPr>
    </w:p>
    <w:p>
      <w:pPr>
        <w:pStyle w:val="2"/>
        <w:keepNext w:val="0"/>
        <w:keepLines w:val="0"/>
        <w:pageBreakBefore w:val="0"/>
        <w:widowControl w:val="0"/>
        <w:wordWrap/>
        <w:topLinePunct w:val="0"/>
        <w:bidi w:val="0"/>
        <w:spacing w:before="0" w:beforeLines="0" w:beforeAutospacing="0" w:after="0" w:afterLines="0" w:afterAutospacing="0" w:line="560" w:lineRule="exact"/>
        <w:ind w:left="0" w:leftChars="0"/>
        <w:rPr>
          <w:rFonts w:hint="eastAsia"/>
        </w:rPr>
      </w:pPr>
    </w:p>
    <w:p>
      <w:pPr>
        <w:pStyle w:val="2"/>
        <w:keepNext w:val="0"/>
        <w:keepLines w:val="0"/>
        <w:pageBreakBefore w:val="0"/>
        <w:widowControl w:val="0"/>
        <w:wordWrap/>
        <w:topLinePunct w:val="0"/>
        <w:bidi w:val="0"/>
        <w:spacing w:before="0" w:beforeLines="0" w:beforeAutospacing="0" w:after="0" w:afterLines="0" w:afterAutospacing="0" w:line="560" w:lineRule="exact"/>
        <w:ind w:left="0" w:leftChars="0"/>
        <w:jc w:val="both"/>
        <w:rPr>
          <w:rFonts w:hint="eastAsia"/>
        </w:rPr>
      </w:pPr>
    </w:p>
    <w:p>
      <w:pPr>
        <w:keepNext w:val="0"/>
        <w:keepLines w:val="0"/>
        <w:pageBreakBefore w:val="0"/>
        <w:widowControl w:val="0"/>
        <w:wordWrap/>
        <w:topLinePunct w:val="0"/>
        <w:bidi w:val="0"/>
        <w:spacing w:beforeAutospacing="0" w:afterAutospacing="0" w:line="560" w:lineRule="exact"/>
        <w:ind w:left="0" w:leftChars="0"/>
        <w:jc w:val="center"/>
        <w:rPr>
          <w:rFonts w:hint="eastAsia" w:ascii="方正小标宋简体" w:hAnsi="方正小标宋简体" w:eastAsia="方正小标宋简体" w:cs="方正小标宋简体"/>
          <w:color w:val="000000"/>
          <w:sz w:val="44"/>
          <w:szCs w:val="44"/>
        </w:rPr>
      </w:pPr>
    </w:p>
    <w:p>
      <w:pPr>
        <w:keepNext w:val="0"/>
        <w:keepLines w:val="0"/>
        <w:pageBreakBefore w:val="0"/>
        <w:widowControl w:val="0"/>
        <w:wordWrap/>
        <w:topLinePunct w:val="0"/>
        <w:bidi w:val="0"/>
        <w:spacing w:beforeAutospacing="0" w:afterAutospacing="0" w:line="560" w:lineRule="exact"/>
        <w:ind w:left="0" w:leftChars="0"/>
        <w:jc w:val="center"/>
        <w:rPr>
          <w:rFonts w:hint="eastAsia" w:ascii="方正小标宋简体" w:hAnsi="方正小标宋简体" w:eastAsia="方正小标宋简体" w:cs="方正小标宋简体"/>
          <w:color w:val="000000"/>
          <w:sz w:val="44"/>
          <w:szCs w:val="44"/>
        </w:rPr>
      </w:pPr>
    </w:p>
    <w:p>
      <w:pPr>
        <w:keepNext w:val="0"/>
        <w:keepLines w:val="0"/>
        <w:pageBreakBefore w:val="0"/>
        <w:widowControl w:val="0"/>
        <w:wordWrap/>
        <w:topLinePunct w:val="0"/>
        <w:bidi w:val="0"/>
        <w:spacing w:beforeAutospacing="0" w:afterAutospacing="0" w:line="560" w:lineRule="exact"/>
        <w:ind w:left="0" w:leftChars="0"/>
        <w:jc w:val="center"/>
        <w:rPr>
          <w:rFonts w:hint="eastAsia" w:ascii="方正小标宋简体" w:hAnsi="方正小标宋简体" w:eastAsia="方正小标宋简体" w:cs="方正小标宋简体"/>
          <w:color w:val="000000"/>
          <w:sz w:val="44"/>
          <w:szCs w:val="44"/>
        </w:rPr>
      </w:pPr>
    </w:p>
    <w:p>
      <w:pPr>
        <w:keepNext w:val="0"/>
        <w:keepLines w:val="0"/>
        <w:pageBreakBefore w:val="0"/>
        <w:widowControl w:val="0"/>
        <w:wordWrap/>
        <w:topLinePunct w:val="0"/>
        <w:bidi w:val="0"/>
        <w:spacing w:beforeAutospacing="0" w:afterAutospacing="0" w:line="560" w:lineRule="exact"/>
        <w:ind w:left="0" w:leftChars="0"/>
        <w:jc w:val="center"/>
        <w:rPr>
          <w:rFonts w:hint="eastAsia" w:ascii="方正小标宋简体" w:hAnsi="方正小标宋简体" w:eastAsia="方正小标宋简体" w:cs="方正小标宋简体"/>
          <w:color w:val="000000"/>
          <w:sz w:val="44"/>
          <w:szCs w:val="44"/>
        </w:rPr>
      </w:pPr>
    </w:p>
    <w:p>
      <w:pPr>
        <w:keepNext w:val="0"/>
        <w:keepLines w:val="0"/>
        <w:pageBreakBefore w:val="0"/>
        <w:widowControl w:val="0"/>
        <w:wordWrap/>
        <w:topLinePunct w:val="0"/>
        <w:bidi w:val="0"/>
        <w:spacing w:beforeAutospacing="0" w:afterAutospacing="0" w:line="560" w:lineRule="exact"/>
        <w:ind w:left="0" w:leftChars="0"/>
        <w:jc w:val="center"/>
        <w:rPr>
          <w:rFonts w:hint="eastAsia" w:ascii="方正小标宋简体" w:hAnsi="方正小标宋简体" w:eastAsia="方正小标宋简体" w:cs="方正小标宋简体"/>
          <w:color w:val="000000"/>
          <w:sz w:val="44"/>
          <w:szCs w:val="44"/>
        </w:rPr>
      </w:pPr>
    </w:p>
    <w:p>
      <w:pPr>
        <w:keepNext w:val="0"/>
        <w:keepLines w:val="0"/>
        <w:pageBreakBefore w:val="0"/>
        <w:widowControl w:val="0"/>
        <w:wordWrap/>
        <w:topLinePunct w:val="0"/>
        <w:bidi w:val="0"/>
        <w:spacing w:beforeAutospacing="0" w:afterAutospacing="0" w:line="560" w:lineRule="exact"/>
        <w:ind w:left="0" w:leftChars="0"/>
        <w:jc w:val="center"/>
        <w:rPr>
          <w:rFonts w:hint="eastAsia" w:ascii="方正小标宋简体" w:hAnsi="方正小标宋简体" w:eastAsia="方正小标宋简体" w:cs="方正小标宋简体"/>
          <w:color w:val="000000"/>
          <w:sz w:val="44"/>
          <w:szCs w:val="44"/>
        </w:rPr>
      </w:pPr>
    </w:p>
    <w:p>
      <w:pP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br w:type="page"/>
      </w:r>
    </w:p>
    <w:p>
      <w:pPr>
        <w:keepNext w:val="0"/>
        <w:keepLines w:val="0"/>
        <w:pageBreakBefore w:val="0"/>
        <w:widowControl w:val="0"/>
        <w:wordWrap/>
        <w:topLinePunct w:val="0"/>
        <w:bidi w:val="0"/>
        <w:spacing w:beforeAutospacing="0" w:afterAutospacing="0" w:line="560" w:lineRule="exact"/>
        <w:ind w:left="0" w:leftChars="0"/>
        <w:jc w:val="center"/>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rPr>
        <w:t>南山区支持行业协会发展扶持</w:t>
      </w:r>
      <w:r>
        <w:rPr>
          <w:rFonts w:hint="eastAsia" w:ascii="方正小标宋简体" w:hAnsi="方正小标宋简体" w:eastAsia="方正小标宋简体" w:cs="方正小标宋简体"/>
          <w:color w:val="000000"/>
          <w:sz w:val="44"/>
          <w:szCs w:val="44"/>
          <w:lang w:eastAsia="zh-CN"/>
        </w:rPr>
        <w:t>措施</w:t>
      </w:r>
    </w:p>
    <w:p>
      <w:pPr>
        <w:keepNext w:val="0"/>
        <w:keepLines w:val="0"/>
        <w:pageBreakBefore w:val="0"/>
        <w:widowControl w:val="0"/>
        <w:wordWrap/>
        <w:topLinePunct w:val="0"/>
        <w:bidi w:val="0"/>
        <w:spacing w:beforeAutospacing="0" w:afterAutospacing="0" w:line="560" w:lineRule="exact"/>
        <w:ind w:left="0" w:leftChars="0"/>
        <w:jc w:val="center"/>
        <w:rPr>
          <w:rFonts w:hint="eastAsia" w:ascii="方正小标宋简体" w:hAnsi="方正小标宋简体" w:eastAsia="方正小标宋简体" w:cs="方正小标宋简体"/>
          <w:color w:val="000000"/>
          <w:sz w:val="44"/>
          <w:szCs w:val="44"/>
        </w:rPr>
      </w:pPr>
      <w:r>
        <w:rPr>
          <w:rFonts w:hint="eastAsia" w:ascii="宋体" w:hAnsi="宋体" w:eastAsia="宋体" w:cs="宋体"/>
          <w:b/>
          <w:bCs/>
          <w:color w:val="000000"/>
          <w:sz w:val="36"/>
          <w:szCs w:val="36"/>
        </w:rPr>
        <w:t>（征求意见稿）</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center"/>
        <w:textAlignment w:val="auto"/>
        <w:rPr>
          <w:rFonts w:hint="eastAsia" w:ascii="黑体" w:hAnsi="黑体" w:eastAsia="黑体" w:cs="宋体"/>
          <w:color w:val="000000"/>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center"/>
        <w:textAlignment w:val="auto"/>
        <w:rPr>
          <w:rFonts w:hint="eastAsia" w:ascii="黑体" w:hAnsi="黑体" w:eastAsia="黑体" w:cs="宋体"/>
          <w:color w:val="000000"/>
          <w:kern w:val="0"/>
          <w:sz w:val="32"/>
          <w:szCs w:val="32"/>
          <w:lang w:eastAsia="zh-CN"/>
        </w:rPr>
      </w:pPr>
      <w:r>
        <w:rPr>
          <w:rFonts w:hint="eastAsia" w:ascii="黑体" w:hAnsi="黑体" w:eastAsia="黑体" w:cs="宋体"/>
          <w:color w:val="000000"/>
          <w:kern w:val="0"/>
          <w:sz w:val="32"/>
          <w:szCs w:val="32"/>
          <w:lang w:eastAsia="zh-CN"/>
        </w:rPr>
        <w:t>第一章</w:t>
      </w:r>
      <w:r>
        <w:rPr>
          <w:rFonts w:hint="eastAsia" w:ascii="黑体" w:hAnsi="黑体" w:eastAsia="黑体" w:cs="宋体"/>
          <w:color w:val="000000"/>
          <w:kern w:val="0"/>
          <w:sz w:val="32"/>
          <w:szCs w:val="32"/>
          <w:lang w:val="en-US" w:eastAsia="zh-CN"/>
        </w:rPr>
        <w:t xml:space="preserve">  </w:t>
      </w:r>
      <w:r>
        <w:rPr>
          <w:rFonts w:hint="eastAsia" w:ascii="黑体" w:hAnsi="黑体" w:eastAsia="黑体" w:cs="宋体"/>
          <w:color w:val="000000"/>
          <w:kern w:val="0"/>
          <w:sz w:val="32"/>
          <w:szCs w:val="32"/>
          <w:lang w:eastAsia="zh-CN"/>
        </w:rPr>
        <w:t>总</w:t>
      </w:r>
      <w:r>
        <w:rPr>
          <w:rFonts w:hint="eastAsia" w:ascii="黑体" w:hAnsi="黑体" w:eastAsia="黑体" w:cs="宋体"/>
          <w:color w:val="000000"/>
          <w:kern w:val="0"/>
          <w:sz w:val="32"/>
          <w:szCs w:val="32"/>
          <w:lang w:val="en-US" w:eastAsia="zh-CN"/>
        </w:rPr>
        <w:t xml:space="preserve">  </w:t>
      </w:r>
      <w:r>
        <w:rPr>
          <w:rFonts w:hint="eastAsia" w:ascii="黑体" w:hAnsi="黑体" w:eastAsia="黑体" w:cs="宋体"/>
          <w:color w:val="000000"/>
          <w:kern w:val="0"/>
          <w:sz w:val="32"/>
          <w:szCs w:val="32"/>
          <w:lang w:eastAsia="zh-CN"/>
        </w:rPr>
        <w:t>则</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firstLineChars="200"/>
        <w:jc w:val="center"/>
        <w:textAlignment w:val="auto"/>
        <w:rPr>
          <w:rFonts w:hint="eastAsia"/>
          <w:color w:val="000000"/>
        </w:rPr>
      </w:pPr>
    </w:p>
    <w:p>
      <w:pPr>
        <w:keepNext w:val="0"/>
        <w:keepLines w:val="0"/>
        <w:pageBreakBefore w:val="0"/>
        <w:widowControl w:val="0"/>
        <w:numPr>
          <w:ilvl w:val="-1"/>
          <w:numId w:val="0"/>
        </w:numPr>
        <w:kinsoku/>
        <w:wordWrap/>
        <w:overflowPunct/>
        <w:topLinePunct w:val="0"/>
        <w:autoSpaceDE/>
        <w:autoSpaceDN/>
        <w:bidi w:val="0"/>
        <w:spacing w:beforeAutospacing="0" w:afterAutospacing="0" w:line="560" w:lineRule="exact"/>
        <w:ind w:left="0" w:leftChars="0" w:firstLine="643" w:firstLineChars="200"/>
        <w:textAlignment w:val="auto"/>
        <w:rPr>
          <w:rFonts w:hint="eastAsia" w:ascii="黑体" w:hAnsi="黑体" w:eastAsia="黑体" w:cs="黑体"/>
          <w:color w:val="000000"/>
          <w:sz w:val="32"/>
          <w:szCs w:val="32"/>
        </w:rPr>
      </w:pPr>
      <w:r>
        <w:rPr>
          <w:rFonts w:hint="eastAsia" w:ascii="楷体_GB2312" w:hAnsi="楷体_GB2312" w:eastAsia="楷体_GB2312" w:cs="楷体_GB2312"/>
          <w:b/>
          <w:color w:val="auto"/>
          <w:sz w:val="32"/>
          <w:szCs w:val="24"/>
          <w:highlight w:val="none"/>
          <w:lang w:eastAsia="zh-CN"/>
        </w:rPr>
        <w:t>第一条</w:t>
      </w:r>
      <w:r>
        <w:rPr>
          <w:rFonts w:hint="eastAsia" w:ascii="楷体_GB2312" w:hAnsi="楷体_GB2312" w:eastAsia="楷体_GB2312" w:cs="楷体_GB2312"/>
          <w:b/>
          <w:color w:val="auto"/>
          <w:sz w:val="32"/>
          <w:szCs w:val="24"/>
          <w:highlight w:val="none"/>
          <w:lang w:val="en-US" w:eastAsia="zh-CN"/>
        </w:rPr>
        <w:t xml:space="preserve">  </w:t>
      </w:r>
      <w:r>
        <w:rPr>
          <w:rFonts w:hint="eastAsia" w:ascii="仿宋_GB2312" w:hAnsi="仿宋_GB2312" w:eastAsia="仿宋_GB2312" w:cs="仿宋_GB2312"/>
          <w:color w:val="000000"/>
          <w:sz w:val="32"/>
          <w:szCs w:val="32"/>
        </w:rPr>
        <w:t>为激发社会组织活力，发挥行业协会在聚合产业链、创新链方面的资源优势，以更好地服务南山区企业，助推经济高质量发展，根据《南山区自主创新产业发展专项资金管理办法》，制定本措施。</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3" w:firstLineChars="2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b/>
          <w:color w:val="auto"/>
          <w:sz w:val="32"/>
          <w:szCs w:val="24"/>
          <w:highlight w:val="none"/>
        </w:rPr>
        <w:t>第二条</w:t>
      </w:r>
      <w:r>
        <w:rPr>
          <w:rFonts w:hint="eastAsia" w:ascii="黑体" w:hAnsi="黑体" w:eastAsia="黑体" w:cs="黑体"/>
          <w:color w:val="000000"/>
          <w:sz w:val="32"/>
          <w:szCs w:val="32"/>
        </w:rPr>
        <w:t xml:space="preserve">  </w:t>
      </w:r>
      <w:r>
        <w:rPr>
          <w:rFonts w:hint="eastAsia" w:ascii="仿宋_GB2312" w:hAnsi="仿宋_GB2312" w:eastAsia="仿宋_GB2312" w:cs="仿宋_GB2312"/>
          <w:color w:val="000000"/>
          <w:sz w:val="32"/>
          <w:szCs w:val="32"/>
        </w:rPr>
        <w:t>本措施适用于注册地或项目实施地在南山辖区，且对南山的产业聚集、品牌推广、行业规范、</w:t>
      </w:r>
      <w:r>
        <w:rPr>
          <w:rFonts w:hint="eastAsia" w:ascii="仿宋_GB2312" w:hAnsi="仿宋_GB2312" w:eastAsia="仿宋_GB2312" w:cs="仿宋_GB2312"/>
          <w:color w:val="000000"/>
          <w:sz w:val="32"/>
          <w:szCs w:val="32"/>
          <w:lang w:eastAsia="zh-CN"/>
        </w:rPr>
        <w:t>招商引智</w:t>
      </w:r>
      <w:r>
        <w:rPr>
          <w:rFonts w:hint="eastAsia" w:ascii="仿宋_GB2312" w:hAnsi="仿宋_GB2312" w:eastAsia="仿宋_GB2312" w:cs="仿宋_GB2312"/>
          <w:color w:val="000000"/>
          <w:sz w:val="32"/>
          <w:szCs w:val="32"/>
        </w:rPr>
        <w:t>等方面具有引领带动作用的</w:t>
      </w:r>
      <w:r>
        <w:rPr>
          <w:rFonts w:hint="eastAsia" w:ascii="仿宋_GB2312" w:hAnsi="仿宋_GB2312" w:eastAsia="仿宋_GB2312" w:cs="仿宋_GB2312"/>
          <w:color w:val="000000"/>
          <w:sz w:val="32"/>
          <w:szCs w:val="32"/>
          <w:lang w:eastAsia="zh-CN"/>
        </w:rPr>
        <w:t>产业</w:t>
      </w:r>
      <w:r>
        <w:rPr>
          <w:rFonts w:hint="eastAsia" w:ascii="仿宋_GB2312" w:hAnsi="仿宋_GB2312" w:eastAsia="仿宋_GB2312" w:cs="仿宋_GB2312"/>
          <w:color w:val="000000"/>
          <w:sz w:val="32"/>
          <w:szCs w:val="32"/>
        </w:rPr>
        <w:t>行业协会、</w:t>
      </w:r>
      <w:r>
        <w:rPr>
          <w:rFonts w:hint="eastAsia" w:ascii="仿宋_GB2312" w:hAnsi="仿宋_GB2312" w:eastAsia="仿宋_GB2312" w:cs="仿宋_GB2312"/>
          <w:color w:val="000000"/>
          <w:sz w:val="32"/>
          <w:szCs w:val="32"/>
          <w:lang w:eastAsia="zh-CN"/>
        </w:rPr>
        <w:t>联合会、促进会</w:t>
      </w:r>
      <w:r>
        <w:rPr>
          <w:rFonts w:hint="eastAsia" w:ascii="仿宋_GB2312" w:hAnsi="仿宋_GB2312" w:eastAsia="仿宋_GB2312" w:cs="仿宋_GB2312"/>
          <w:color w:val="000000"/>
          <w:sz w:val="32"/>
          <w:szCs w:val="32"/>
        </w:rPr>
        <w:t>等社会组织。</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3" w:firstLineChars="2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b/>
          <w:bCs w:val="0"/>
          <w:color w:val="auto"/>
          <w:sz w:val="32"/>
          <w:szCs w:val="24"/>
          <w:highlight w:val="none"/>
        </w:rPr>
        <w:t>第</w:t>
      </w:r>
      <w:r>
        <w:rPr>
          <w:rFonts w:hint="eastAsia" w:ascii="楷体_GB2312" w:hAnsi="楷体_GB2312" w:eastAsia="楷体_GB2312" w:cs="楷体_GB2312"/>
          <w:b/>
          <w:bCs w:val="0"/>
          <w:color w:val="auto"/>
          <w:sz w:val="32"/>
          <w:szCs w:val="24"/>
          <w:highlight w:val="none"/>
          <w:lang w:eastAsia="zh-CN"/>
        </w:rPr>
        <w:t>三</w:t>
      </w:r>
      <w:r>
        <w:rPr>
          <w:rFonts w:hint="eastAsia" w:ascii="楷体_GB2312" w:hAnsi="楷体_GB2312" w:eastAsia="楷体_GB2312" w:cs="楷体_GB2312"/>
          <w:b/>
          <w:bCs w:val="0"/>
          <w:color w:val="auto"/>
          <w:sz w:val="32"/>
          <w:szCs w:val="24"/>
          <w:highlight w:val="none"/>
        </w:rPr>
        <w:t>条</w:t>
      </w:r>
      <w:r>
        <w:rPr>
          <w:rFonts w:hint="eastAsia" w:ascii="仿宋_GB2312" w:hAnsi="仿宋_GB2312" w:eastAsia="仿宋_GB2312" w:cs="仿宋_GB2312"/>
          <w:color w:val="000000"/>
          <w:sz w:val="32"/>
          <w:szCs w:val="32"/>
        </w:rPr>
        <w:t xml:space="preserve">  本措施中扶持项目均不受《南山区自主创新产业发展专项资金管理办法》</w:t>
      </w:r>
      <w:r>
        <w:rPr>
          <w:rFonts w:hint="eastAsia" w:ascii="仿宋_GB2312" w:hAnsi="仿宋_GB2312" w:eastAsia="仿宋_GB2312" w:cs="仿宋_GB2312"/>
          <w:color w:val="000000"/>
          <w:sz w:val="32"/>
          <w:szCs w:val="32"/>
          <w:lang w:eastAsia="zh-CN"/>
        </w:rPr>
        <w:t>规定的“注册地”“区级</w:t>
      </w:r>
      <w:r>
        <w:rPr>
          <w:rFonts w:hint="eastAsia" w:ascii="仿宋_GB2312" w:hAnsi="仿宋_GB2312" w:eastAsia="仿宋_GB2312" w:cs="仿宋_GB2312"/>
          <w:color w:val="000000"/>
          <w:sz w:val="32"/>
          <w:szCs w:val="32"/>
        </w:rPr>
        <w:t>地方财力贡献</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限制，同一项目已获得区政府其它资金支持的，本措施不再支持。</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本措施支持资金受年度资金总额控制。</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center"/>
        <w:textAlignment w:val="auto"/>
        <w:rPr>
          <w:rFonts w:hint="eastAsia" w:ascii="黑体" w:hAnsi="黑体" w:eastAsia="黑体" w:cs="宋体"/>
          <w:color w:val="000000"/>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center"/>
        <w:textAlignment w:val="auto"/>
        <w:rPr>
          <w:rFonts w:hint="eastAsia" w:ascii="黑体" w:hAnsi="黑体" w:eastAsia="黑体" w:cs="宋体"/>
          <w:color w:val="000000"/>
          <w:kern w:val="0"/>
          <w:sz w:val="32"/>
          <w:szCs w:val="32"/>
          <w:lang w:eastAsia="zh-CN"/>
        </w:rPr>
      </w:pPr>
      <w:r>
        <w:rPr>
          <w:rFonts w:hint="eastAsia" w:ascii="黑体" w:hAnsi="黑体" w:eastAsia="黑体" w:cs="宋体"/>
          <w:color w:val="000000"/>
          <w:kern w:val="0"/>
          <w:sz w:val="32"/>
          <w:szCs w:val="32"/>
          <w:lang w:eastAsia="zh-CN"/>
        </w:rPr>
        <w:t>第二章</w:t>
      </w:r>
      <w:r>
        <w:rPr>
          <w:rFonts w:hint="eastAsia" w:ascii="黑体" w:hAnsi="黑体" w:eastAsia="黑体" w:cs="宋体"/>
          <w:color w:val="000000"/>
          <w:kern w:val="0"/>
          <w:sz w:val="32"/>
          <w:szCs w:val="32"/>
          <w:lang w:val="en-US" w:eastAsia="zh-CN"/>
        </w:rPr>
        <w:t xml:space="preserve">  </w:t>
      </w:r>
      <w:r>
        <w:rPr>
          <w:rFonts w:hint="eastAsia" w:ascii="黑体" w:hAnsi="黑体" w:eastAsia="黑体" w:cs="宋体"/>
          <w:color w:val="000000"/>
          <w:kern w:val="0"/>
          <w:sz w:val="32"/>
          <w:szCs w:val="32"/>
          <w:lang w:eastAsia="zh-CN"/>
        </w:rPr>
        <w:t>扶持项目</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firstLineChars="200"/>
        <w:textAlignment w:val="auto"/>
        <w:rPr>
          <w:rFonts w:hint="eastAsia" w:ascii="黑体" w:hAnsi="黑体" w:eastAsia="黑体" w:cs="黑体"/>
          <w:color w:val="000000"/>
          <w:sz w:val="32"/>
          <w:szCs w:val="32"/>
        </w:rPr>
      </w:pP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3" w:firstLineChars="200"/>
        <w:textAlignment w:val="auto"/>
        <w:rPr>
          <w:rFonts w:hint="eastAsia" w:ascii="楷体_GB2312" w:hAnsi="楷体_GB2312" w:eastAsia="楷体_GB2312" w:cs="楷体_GB2312"/>
          <w:b/>
          <w:color w:val="auto"/>
          <w:sz w:val="32"/>
          <w:szCs w:val="24"/>
          <w:highlight w:val="none"/>
        </w:rPr>
      </w:pPr>
      <w:r>
        <w:rPr>
          <w:rFonts w:hint="eastAsia" w:ascii="楷体_GB2312" w:hAnsi="楷体_GB2312" w:eastAsia="楷体_GB2312" w:cs="楷体_GB2312"/>
          <w:b/>
          <w:color w:val="auto"/>
          <w:sz w:val="32"/>
          <w:szCs w:val="24"/>
          <w:highlight w:val="none"/>
        </w:rPr>
        <w:t>第</w:t>
      </w:r>
      <w:r>
        <w:rPr>
          <w:rFonts w:hint="eastAsia" w:ascii="楷体_GB2312" w:hAnsi="楷体_GB2312" w:eastAsia="楷体_GB2312" w:cs="楷体_GB2312"/>
          <w:b/>
          <w:color w:val="auto"/>
          <w:sz w:val="32"/>
          <w:szCs w:val="24"/>
          <w:highlight w:val="none"/>
          <w:lang w:eastAsia="zh-CN"/>
        </w:rPr>
        <w:t>四</w:t>
      </w:r>
      <w:r>
        <w:rPr>
          <w:rFonts w:hint="eastAsia" w:ascii="楷体_GB2312" w:hAnsi="楷体_GB2312" w:eastAsia="楷体_GB2312" w:cs="楷体_GB2312"/>
          <w:b/>
          <w:color w:val="auto"/>
          <w:sz w:val="32"/>
          <w:szCs w:val="24"/>
          <w:highlight w:val="none"/>
        </w:rPr>
        <w:t>条</w:t>
      </w:r>
      <w:r>
        <w:rPr>
          <w:rFonts w:hint="eastAsia" w:ascii="楷体_GB2312" w:hAnsi="楷体_GB2312" w:eastAsia="楷体_GB2312" w:cs="楷体_GB2312"/>
          <w:b/>
          <w:color w:val="auto"/>
          <w:sz w:val="32"/>
          <w:szCs w:val="24"/>
          <w:highlight w:val="none"/>
          <w:lang w:val="en-US" w:eastAsia="zh-CN"/>
        </w:rPr>
        <w:t xml:space="preserve">  </w:t>
      </w:r>
      <w:r>
        <w:rPr>
          <w:rFonts w:hint="eastAsia" w:ascii="楷体_GB2312" w:hAnsi="楷体_GB2312" w:eastAsia="楷体_GB2312" w:cs="楷体_GB2312"/>
          <w:b/>
          <w:color w:val="auto"/>
          <w:sz w:val="32"/>
          <w:szCs w:val="24"/>
          <w:highlight w:val="none"/>
        </w:rPr>
        <w:t>落户奖励</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对新迁入或新注册成立的符合南山产业发展定位和方向的重点行业协会，经备案后给予每家最高50万元的一次性开办资助。</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3" w:firstLineChars="200"/>
        <w:textAlignment w:val="auto"/>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eastAsia="zh-CN"/>
        </w:rPr>
        <w:t>第五条</w:t>
      </w:r>
      <w:r>
        <w:rPr>
          <w:rFonts w:hint="eastAsia" w:ascii="楷体_GB2312" w:hAnsi="楷体_GB2312" w:eastAsia="楷体_GB2312" w:cs="楷体_GB2312"/>
          <w:b/>
          <w:bCs w:val="0"/>
          <w:color w:val="auto"/>
          <w:sz w:val="32"/>
          <w:szCs w:val="24"/>
          <w:highlight w:val="none"/>
          <w:lang w:val="en-US" w:eastAsia="zh-CN"/>
        </w:rPr>
        <w:t xml:space="preserve">  影响力评估支持</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每两年对行业</w:t>
      </w:r>
      <w:r>
        <w:rPr>
          <w:rFonts w:hint="eastAsia" w:ascii="仿宋_GB2312" w:hAnsi="仿宋_GB2312" w:eastAsia="仿宋_GB2312" w:cs="仿宋_GB2312"/>
          <w:color w:val="000000"/>
          <w:sz w:val="32"/>
          <w:szCs w:val="32"/>
          <w:lang w:eastAsia="zh-CN"/>
        </w:rPr>
        <w:t>协会</w:t>
      </w:r>
      <w:r>
        <w:rPr>
          <w:rFonts w:hint="eastAsia" w:ascii="仿宋_GB2312" w:hAnsi="仿宋_GB2312" w:eastAsia="仿宋_GB2312" w:cs="仿宋_GB2312"/>
          <w:color w:val="000000"/>
          <w:sz w:val="32"/>
          <w:szCs w:val="32"/>
        </w:rPr>
        <w:t>的运作规范性、行业影响力、会员满意度、南山贡献值等五个维度综合评定，根据第三方专业机构评定结果按档次给予</w:t>
      </w:r>
      <w:r>
        <w:rPr>
          <w:rFonts w:hint="eastAsia" w:ascii="仿宋_GB2312" w:hAnsi="仿宋_GB2312" w:eastAsia="仿宋_GB2312" w:cs="仿宋_GB2312"/>
          <w:color w:val="000000"/>
          <w:sz w:val="32"/>
          <w:szCs w:val="32"/>
          <w:lang w:eastAsia="zh-CN"/>
        </w:rPr>
        <w:t>最高</w:t>
      </w:r>
      <w:r>
        <w:rPr>
          <w:rFonts w:hint="eastAsia" w:ascii="仿宋_GB2312" w:hAnsi="仿宋_GB2312" w:eastAsia="仿宋_GB2312" w:cs="仿宋_GB2312"/>
          <w:color w:val="000000"/>
          <w:sz w:val="32"/>
          <w:szCs w:val="32"/>
        </w:rPr>
        <w:t>50万元</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一次性支持。</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3" w:firstLineChars="200"/>
        <w:textAlignment w:val="auto"/>
        <w:rPr>
          <w:rFonts w:hint="eastAsia" w:ascii="楷体_GB2312" w:hAnsi="楷体_GB2312" w:eastAsia="楷体_GB2312" w:cs="楷体_GB2312"/>
          <w:b/>
          <w:color w:val="auto"/>
          <w:sz w:val="32"/>
          <w:szCs w:val="24"/>
          <w:highlight w:val="none"/>
        </w:rPr>
      </w:pPr>
      <w:r>
        <w:rPr>
          <w:rFonts w:hint="eastAsia" w:ascii="楷体_GB2312" w:hAnsi="楷体_GB2312" w:eastAsia="楷体_GB2312" w:cs="楷体_GB2312"/>
          <w:b/>
          <w:color w:val="auto"/>
          <w:sz w:val="32"/>
          <w:szCs w:val="24"/>
          <w:highlight w:val="none"/>
        </w:rPr>
        <w:t>第</w:t>
      </w:r>
      <w:r>
        <w:rPr>
          <w:rFonts w:hint="eastAsia" w:ascii="楷体_GB2312" w:hAnsi="楷体_GB2312" w:eastAsia="楷体_GB2312" w:cs="楷体_GB2312"/>
          <w:b/>
          <w:color w:val="auto"/>
          <w:sz w:val="32"/>
          <w:szCs w:val="24"/>
          <w:highlight w:val="none"/>
          <w:lang w:eastAsia="zh-CN"/>
        </w:rPr>
        <w:t>六</w:t>
      </w:r>
      <w:r>
        <w:rPr>
          <w:rFonts w:hint="eastAsia" w:ascii="楷体_GB2312" w:hAnsi="楷体_GB2312" w:eastAsia="楷体_GB2312" w:cs="楷体_GB2312"/>
          <w:b/>
          <w:color w:val="auto"/>
          <w:sz w:val="32"/>
          <w:szCs w:val="24"/>
          <w:highlight w:val="none"/>
        </w:rPr>
        <w:t>条  人才支持</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对符合条件的</w:t>
      </w:r>
      <w:r>
        <w:rPr>
          <w:rFonts w:hint="eastAsia" w:ascii="仿宋_GB2312" w:hAnsi="仿宋_GB2312" w:eastAsia="仿宋_GB2312" w:cs="仿宋_GB2312"/>
          <w:color w:val="000000"/>
          <w:sz w:val="32"/>
          <w:szCs w:val="32"/>
        </w:rPr>
        <w:t>重点行业协会可</w:t>
      </w:r>
      <w:r>
        <w:rPr>
          <w:rFonts w:hint="eastAsia" w:ascii="仿宋_GB2312" w:hAnsi="仿宋_GB2312" w:eastAsia="仿宋_GB2312" w:cs="仿宋_GB2312"/>
          <w:color w:val="000000"/>
          <w:sz w:val="32"/>
          <w:szCs w:val="32"/>
          <w:lang w:eastAsia="zh-CN"/>
        </w:rPr>
        <w:t>享受</w:t>
      </w:r>
      <w:r>
        <w:rPr>
          <w:rFonts w:hint="eastAsia" w:ascii="仿宋_GB2312" w:hAnsi="仿宋_GB2312" w:eastAsia="仿宋_GB2312" w:cs="仿宋_GB2312"/>
          <w:color w:val="000000"/>
          <w:sz w:val="32"/>
          <w:szCs w:val="32"/>
        </w:rPr>
        <w:t>南山区</w:t>
      </w:r>
      <w:r>
        <w:rPr>
          <w:rFonts w:hint="eastAsia" w:ascii="仿宋_GB2312" w:hAnsi="仿宋_GB2312" w:eastAsia="仿宋_GB2312" w:cs="仿宋_GB2312"/>
          <w:color w:val="000000"/>
          <w:sz w:val="32"/>
          <w:szCs w:val="32"/>
          <w:lang w:eastAsia="zh-CN"/>
        </w:rPr>
        <w:t>相关</w:t>
      </w:r>
      <w:r>
        <w:rPr>
          <w:rFonts w:hint="eastAsia" w:ascii="仿宋_GB2312" w:hAnsi="仿宋_GB2312" w:eastAsia="仿宋_GB2312" w:cs="仿宋_GB2312"/>
          <w:color w:val="000000"/>
          <w:sz w:val="32"/>
          <w:szCs w:val="32"/>
        </w:rPr>
        <w:t>人才</w:t>
      </w:r>
      <w:r>
        <w:rPr>
          <w:rFonts w:hint="eastAsia" w:ascii="仿宋_GB2312" w:hAnsi="仿宋_GB2312" w:eastAsia="仿宋_GB2312" w:cs="仿宋_GB2312"/>
          <w:color w:val="000000"/>
          <w:sz w:val="32"/>
          <w:szCs w:val="32"/>
          <w:lang w:eastAsia="zh-CN"/>
        </w:rPr>
        <w:t>奖励、人才配租补租扶持政策</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3" w:firstLineChars="200"/>
        <w:textAlignment w:val="auto"/>
        <w:rPr>
          <w:rFonts w:hint="eastAsia" w:ascii="楷体_GB2312" w:hAnsi="楷体_GB2312" w:eastAsia="楷体_GB2312" w:cs="楷体_GB2312"/>
          <w:b/>
          <w:color w:val="auto"/>
          <w:sz w:val="32"/>
          <w:szCs w:val="24"/>
          <w:highlight w:val="none"/>
        </w:rPr>
      </w:pPr>
      <w:r>
        <w:rPr>
          <w:rFonts w:hint="eastAsia" w:ascii="楷体_GB2312" w:hAnsi="楷体_GB2312" w:eastAsia="楷体_GB2312" w:cs="楷体_GB2312"/>
          <w:b/>
          <w:color w:val="auto"/>
          <w:sz w:val="32"/>
          <w:szCs w:val="24"/>
          <w:highlight w:val="none"/>
        </w:rPr>
        <w:t>第</w:t>
      </w:r>
      <w:r>
        <w:rPr>
          <w:rFonts w:hint="eastAsia" w:ascii="楷体_GB2312" w:hAnsi="楷体_GB2312" w:eastAsia="楷体_GB2312" w:cs="楷体_GB2312"/>
          <w:b/>
          <w:color w:val="auto"/>
          <w:sz w:val="32"/>
          <w:szCs w:val="24"/>
          <w:highlight w:val="none"/>
          <w:lang w:eastAsia="zh-CN"/>
        </w:rPr>
        <w:t>七</w:t>
      </w:r>
      <w:r>
        <w:rPr>
          <w:rFonts w:hint="eastAsia" w:ascii="楷体_GB2312" w:hAnsi="楷体_GB2312" w:eastAsia="楷体_GB2312" w:cs="楷体_GB2312"/>
          <w:b/>
          <w:color w:val="auto"/>
          <w:sz w:val="32"/>
          <w:szCs w:val="24"/>
          <w:highlight w:val="none"/>
        </w:rPr>
        <w:t>条  空间支持</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对在本辖区范围内租赁社会办公用房</w:t>
      </w:r>
      <w:r>
        <w:rPr>
          <w:rFonts w:hint="eastAsia" w:ascii="仿宋_GB2312" w:hAnsi="仿宋_GB2312" w:eastAsia="仿宋_GB2312" w:cs="仿宋_GB2312"/>
          <w:color w:val="000000"/>
          <w:sz w:val="32"/>
          <w:szCs w:val="32"/>
          <w:lang w:eastAsia="zh-CN"/>
        </w:rPr>
        <w:t>的重点行业协会或上</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eastAsia="zh-CN"/>
        </w:rPr>
        <w:t>综合</w:t>
      </w:r>
      <w:r>
        <w:rPr>
          <w:rFonts w:hint="eastAsia" w:ascii="仿宋_GB2312" w:hAnsi="仿宋_GB2312" w:eastAsia="仿宋_GB2312" w:cs="仿宋_GB2312"/>
          <w:color w:val="000000"/>
          <w:sz w:val="32"/>
          <w:szCs w:val="32"/>
        </w:rPr>
        <w:t>评估前</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0名的行业协会，按实际支付租金的50%且不超过50元/平方米/月的标准给予资助，每家行业协会每年的资助金额最高不超过30万元，资助期限不超过三年。行业协会享受房租支持期间不得转租。</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对符合条件的行业协会，可按相关规定享受</w:t>
      </w:r>
      <w:r>
        <w:rPr>
          <w:rFonts w:hint="eastAsia" w:ascii="仿宋_GB2312" w:hAnsi="仿宋_GB2312" w:eastAsia="仿宋_GB2312" w:cs="仿宋_GB2312"/>
          <w:color w:val="000000"/>
          <w:sz w:val="32"/>
          <w:szCs w:val="32"/>
          <w:lang w:eastAsia="zh-CN"/>
        </w:rPr>
        <w:t>南山区</w:t>
      </w:r>
      <w:r>
        <w:rPr>
          <w:rFonts w:hint="eastAsia" w:ascii="仿宋_GB2312" w:hAnsi="仿宋_GB2312" w:eastAsia="仿宋_GB2312" w:cs="仿宋_GB2312"/>
          <w:color w:val="000000"/>
          <w:sz w:val="32"/>
          <w:szCs w:val="32"/>
        </w:rPr>
        <w:t>政策性产业用房扶持。</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32"/>
          <w:szCs w:val="32"/>
        </w:rPr>
        <w:t>同一家行业协会原则上只能享受上述一项扶持政策。</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3" w:firstLineChars="200"/>
        <w:textAlignment w:val="auto"/>
        <w:rPr>
          <w:rFonts w:hint="eastAsia" w:ascii="楷体_GB2312" w:hAnsi="楷体_GB2312" w:eastAsia="楷体_GB2312" w:cs="楷体_GB2312"/>
          <w:b/>
          <w:color w:val="auto"/>
          <w:sz w:val="32"/>
          <w:szCs w:val="24"/>
          <w:highlight w:val="none"/>
        </w:rPr>
      </w:pPr>
      <w:r>
        <w:rPr>
          <w:rFonts w:hint="eastAsia" w:ascii="楷体_GB2312" w:hAnsi="楷体_GB2312" w:eastAsia="楷体_GB2312" w:cs="楷体_GB2312"/>
          <w:b/>
          <w:color w:val="auto"/>
          <w:sz w:val="32"/>
          <w:szCs w:val="24"/>
          <w:highlight w:val="none"/>
        </w:rPr>
        <w:t>第</w:t>
      </w:r>
      <w:r>
        <w:rPr>
          <w:rFonts w:hint="eastAsia" w:ascii="楷体_GB2312" w:hAnsi="楷体_GB2312" w:eastAsia="楷体_GB2312" w:cs="楷体_GB2312"/>
          <w:b/>
          <w:color w:val="auto"/>
          <w:sz w:val="32"/>
          <w:szCs w:val="24"/>
          <w:highlight w:val="none"/>
          <w:lang w:eastAsia="zh-CN"/>
        </w:rPr>
        <w:t>八</w:t>
      </w:r>
      <w:r>
        <w:rPr>
          <w:rFonts w:hint="eastAsia" w:ascii="楷体_GB2312" w:hAnsi="楷体_GB2312" w:eastAsia="楷体_GB2312" w:cs="楷体_GB2312"/>
          <w:b/>
          <w:color w:val="auto"/>
          <w:sz w:val="32"/>
          <w:szCs w:val="24"/>
          <w:highlight w:val="none"/>
        </w:rPr>
        <w:t>条  公共服务平台支持</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对行业协会主导建设的工程实验室、工具性检测、公共信息系统等重大公共技术服务平台，经</w:t>
      </w:r>
      <w:r>
        <w:rPr>
          <w:rFonts w:hint="eastAsia" w:ascii="仿宋_GB2312" w:hAnsi="仿宋_GB2312" w:eastAsia="仿宋_GB2312" w:cs="仿宋_GB2312"/>
          <w:color w:val="000000"/>
          <w:sz w:val="32"/>
          <w:szCs w:val="32"/>
          <w:lang w:eastAsia="zh-CN"/>
        </w:rPr>
        <w:t>南山</w:t>
      </w:r>
      <w:r>
        <w:rPr>
          <w:rFonts w:hint="eastAsia" w:ascii="仿宋_GB2312" w:hAnsi="仿宋_GB2312" w:eastAsia="仿宋_GB2312" w:cs="仿宋_GB2312"/>
          <w:color w:val="000000"/>
          <w:sz w:val="32"/>
          <w:szCs w:val="32"/>
        </w:rPr>
        <w:t>区产业主管部门认可</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备案后按项目审计核准金额</w:t>
      </w:r>
      <w:r>
        <w:rPr>
          <w:rFonts w:hint="eastAsia" w:ascii="仿宋_GB2312" w:hAnsi="仿宋_GB2312" w:eastAsia="仿宋_GB2312" w:cs="仿宋_GB2312"/>
          <w:color w:val="000000"/>
          <w:sz w:val="32"/>
          <w:szCs w:val="32"/>
          <w:lang w:eastAsia="zh-CN"/>
        </w:rPr>
        <w:t>不超过</w:t>
      </w:r>
      <w:r>
        <w:rPr>
          <w:rFonts w:hint="eastAsia" w:ascii="仿宋_GB2312" w:hAnsi="仿宋_GB2312" w:eastAsia="仿宋_GB2312" w:cs="仿宋_GB2312"/>
          <w:color w:val="000000"/>
          <w:sz w:val="32"/>
          <w:szCs w:val="32"/>
        </w:rPr>
        <w:t>50%，给予最高100万元支持。</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3" w:firstLineChars="200"/>
        <w:textAlignment w:val="auto"/>
        <w:rPr>
          <w:rFonts w:hint="eastAsia" w:ascii="楷体_GB2312" w:hAnsi="楷体_GB2312" w:eastAsia="楷体_GB2312" w:cs="楷体_GB2312"/>
          <w:b/>
          <w:bCs w:val="0"/>
          <w:color w:val="auto"/>
          <w:sz w:val="32"/>
          <w:szCs w:val="24"/>
          <w:highlight w:val="none"/>
        </w:rPr>
      </w:pPr>
      <w:r>
        <w:rPr>
          <w:rFonts w:hint="eastAsia" w:ascii="楷体_GB2312" w:hAnsi="楷体_GB2312" w:eastAsia="楷体_GB2312" w:cs="楷体_GB2312"/>
          <w:b/>
          <w:color w:val="auto"/>
          <w:sz w:val="32"/>
          <w:szCs w:val="24"/>
          <w:highlight w:val="none"/>
        </w:rPr>
        <w:t>第</w:t>
      </w:r>
      <w:r>
        <w:rPr>
          <w:rFonts w:hint="eastAsia" w:ascii="楷体_GB2312" w:hAnsi="楷体_GB2312" w:eastAsia="楷体_GB2312" w:cs="楷体_GB2312"/>
          <w:b/>
          <w:color w:val="auto"/>
          <w:sz w:val="32"/>
          <w:szCs w:val="24"/>
          <w:highlight w:val="none"/>
          <w:lang w:eastAsia="zh-CN"/>
        </w:rPr>
        <w:t>九</w:t>
      </w:r>
      <w:r>
        <w:rPr>
          <w:rFonts w:hint="eastAsia" w:ascii="楷体_GB2312" w:hAnsi="楷体_GB2312" w:eastAsia="楷体_GB2312" w:cs="楷体_GB2312"/>
          <w:b/>
          <w:color w:val="auto"/>
          <w:sz w:val="32"/>
          <w:szCs w:val="24"/>
          <w:highlight w:val="none"/>
        </w:rPr>
        <w:t>条  专业交流活动支持</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对行业协会在本辖区主办或承办的</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符合南山</w:t>
      </w:r>
      <w:r>
        <w:rPr>
          <w:rFonts w:hint="eastAsia" w:ascii="仿宋_GB2312" w:hAnsi="仿宋_GB2312" w:eastAsia="仿宋_GB2312" w:cs="仿宋_GB2312"/>
          <w:color w:val="000000"/>
          <w:sz w:val="32"/>
          <w:szCs w:val="32"/>
          <w:lang w:eastAsia="zh-CN"/>
        </w:rPr>
        <w:t>区</w:t>
      </w:r>
      <w:r>
        <w:rPr>
          <w:rFonts w:hint="eastAsia" w:ascii="仿宋_GB2312" w:hAnsi="仿宋_GB2312" w:eastAsia="仿宋_GB2312" w:cs="仿宋_GB2312"/>
          <w:color w:val="000000"/>
          <w:sz w:val="32"/>
          <w:szCs w:val="32"/>
        </w:rPr>
        <w:t>产业发展定位和方向</w:t>
      </w:r>
      <w:r>
        <w:rPr>
          <w:rFonts w:hint="eastAsia" w:ascii="仿宋_GB2312" w:hAnsi="仿宋_GB2312" w:eastAsia="仿宋_GB2312" w:cs="仿宋_GB2312"/>
          <w:color w:val="000000"/>
          <w:sz w:val="32"/>
          <w:szCs w:val="32"/>
          <w:lang w:eastAsia="zh-CN"/>
        </w:rPr>
        <w:t>的专业</w:t>
      </w:r>
      <w:r>
        <w:rPr>
          <w:rFonts w:hint="eastAsia" w:ascii="仿宋_GB2312" w:hAnsi="仿宋_GB2312" w:eastAsia="仿宋_GB2312" w:cs="仿宋_GB2312"/>
          <w:color w:val="000000"/>
          <w:sz w:val="32"/>
          <w:szCs w:val="32"/>
        </w:rPr>
        <w:t>交流活动，经备案后按活动所发生实际费用给予</w:t>
      </w:r>
      <w:r>
        <w:rPr>
          <w:rFonts w:hint="eastAsia" w:ascii="仿宋_GB2312" w:hAnsi="仿宋_GB2312" w:eastAsia="仿宋_GB2312" w:cs="仿宋_GB2312"/>
          <w:color w:val="000000"/>
          <w:sz w:val="32"/>
          <w:szCs w:val="32"/>
          <w:lang w:eastAsia="zh-CN"/>
        </w:rPr>
        <w:t>不超过</w:t>
      </w:r>
      <w:r>
        <w:rPr>
          <w:rFonts w:hint="eastAsia" w:ascii="仿宋_GB2312" w:hAnsi="仿宋_GB2312" w:eastAsia="仿宋_GB2312" w:cs="仿宋_GB2312"/>
          <w:color w:val="000000"/>
          <w:sz w:val="32"/>
          <w:szCs w:val="32"/>
        </w:rPr>
        <w:t>50%、最高100万元的资助，但南山区其他产业扶持措施对其另有规定的，从其规定。</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3" w:firstLineChars="200"/>
        <w:textAlignment w:val="auto"/>
        <w:rPr>
          <w:rFonts w:hint="eastAsia" w:ascii="楷体_GB2312" w:hAnsi="楷体_GB2312" w:eastAsia="楷体_GB2312" w:cs="楷体_GB2312"/>
          <w:b/>
          <w:bCs w:val="0"/>
          <w:color w:val="auto"/>
          <w:sz w:val="32"/>
          <w:szCs w:val="24"/>
          <w:highlight w:val="none"/>
        </w:rPr>
      </w:pPr>
      <w:r>
        <w:rPr>
          <w:rFonts w:hint="eastAsia" w:ascii="楷体_GB2312" w:hAnsi="楷体_GB2312" w:eastAsia="楷体_GB2312" w:cs="楷体_GB2312"/>
          <w:b/>
          <w:color w:val="auto"/>
          <w:sz w:val="32"/>
          <w:szCs w:val="24"/>
          <w:highlight w:val="none"/>
        </w:rPr>
        <w:t>第</w:t>
      </w:r>
      <w:r>
        <w:rPr>
          <w:rFonts w:hint="eastAsia" w:ascii="楷体_GB2312" w:hAnsi="楷体_GB2312" w:eastAsia="楷体_GB2312" w:cs="楷体_GB2312"/>
          <w:b/>
          <w:color w:val="auto"/>
          <w:sz w:val="32"/>
          <w:szCs w:val="24"/>
          <w:highlight w:val="none"/>
          <w:lang w:eastAsia="zh-CN"/>
        </w:rPr>
        <w:t>十</w:t>
      </w:r>
      <w:r>
        <w:rPr>
          <w:rFonts w:hint="eastAsia" w:ascii="楷体_GB2312" w:hAnsi="楷体_GB2312" w:eastAsia="楷体_GB2312" w:cs="楷体_GB2312"/>
          <w:b/>
          <w:color w:val="auto"/>
          <w:sz w:val="32"/>
          <w:szCs w:val="24"/>
          <w:highlight w:val="none"/>
        </w:rPr>
        <w:t>条  研究项目支持</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对行业协会</w:t>
      </w:r>
      <w:r>
        <w:rPr>
          <w:rFonts w:hint="eastAsia" w:ascii="仿宋_GB2312" w:hAnsi="仿宋_GB2312" w:eastAsia="仿宋_GB2312" w:cs="仿宋_GB2312"/>
          <w:color w:val="000000"/>
          <w:sz w:val="32"/>
          <w:szCs w:val="32"/>
          <w:lang w:eastAsia="zh-CN"/>
        </w:rPr>
        <w:t>聚焦南山区产业发展定位和方向，开展的</w:t>
      </w:r>
      <w:r>
        <w:rPr>
          <w:rFonts w:hint="eastAsia" w:ascii="仿宋_GB2312" w:hAnsi="仿宋_GB2312" w:eastAsia="仿宋_GB2312" w:cs="仿宋_GB2312"/>
          <w:color w:val="000000"/>
          <w:sz w:val="32"/>
          <w:szCs w:val="32"/>
        </w:rPr>
        <w:t>行业规划、行业现状分析等研究项目，研究成果经区政府或</w:t>
      </w:r>
      <w:r>
        <w:rPr>
          <w:rFonts w:hint="eastAsia" w:ascii="仿宋_GB2312" w:hAnsi="仿宋_GB2312" w:eastAsia="仿宋_GB2312" w:cs="仿宋_GB2312"/>
          <w:color w:val="000000"/>
          <w:sz w:val="32"/>
          <w:szCs w:val="32"/>
          <w:lang w:eastAsia="zh-CN"/>
        </w:rPr>
        <w:t>区</w:t>
      </w:r>
      <w:r>
        <w:rPr>
          <w:rFonts w:hint="eastAsia" w:ascii="仿宋_GB2312" w:hAnsi="仿宋_GB2312" w:eastAsia="仿宋_GB2312" w:cs="仿宋_GB2312"/>
          <w:color w:val="000000"/>
          <w:sz w:val="32"/>
          <w:szCs w:val="32"/>
        </w:rPr>
        <w:t>相关产业部门肯定的，经备案后按项目审计核准金额</w:t>
      </w:r>
      <w:r>
        <w:rPr>
          <w:rFonts w:hint="eastAsia" w:ascii="仿宋_GB2312" w:hAnsi="仿宋_GB2312" w:eastAsia="仿宋_GB2312" w:cs="仿宋_GB2312"/>
          <w:color w:val="000000"/>
          <w:sz w:val="32"/>
          <w:szCs w:val="32"/>
          <w:lang w:eastAsia="zh-CN"/>
        </w:rPr>
        <w:t>不超过</w:t>
      </w:r>
      <w:r>
        <w:rPr>
          <w:rFonts w:hint="eastAsia" w:ascii="仿宋_GB2312" w:hAnsi="仿宋_GB2312" w:eastAsia="仿宋_GB2312" w:cs="仿宋_GB2312"/>
          <w:color w:val="000000"/>
          <w:sz w:val="32"/>
          <w:szCs w:val="32"/>
        </w:rPr>
        <w:t xml:space="preserve">50%，给予最高30万元支持。 </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3" w:firstLineChars="200"/>
        <w:textAlignment w:val="auto"/>
        <w:rPr>
          <w:rFonts w:hint="eastAsia" w:ascii="楷体_GB2312" w:hAnsi="楷体_GB2312" w:eastAsia="楷体_GB2312" w:cs="楷体_GB2312"/>
          <w:b/>
          <w:color w:val="auto"/>
          <w:sz w:val="32"/>
          <w:szCs w:val="24"/>
          <w:highlight w:val="none"/>
        </w:rPr>
      </w:pPr>
      <w:r>
        <w:rPr>
          <w:rFonts w:hint="eastAsia" w:ascii="楷体_GB2312" w:hAnsi="楷体_GB2312" w:eastAsia="楷体_GB2312" w:cs="楷体_GB2312"/>
          <w:b/>
          <w:color w:val="auto"/>
          <w:sz w:val="32"/>
          <w:szCs w:val="24"/>
          <w:highlight w:val="none"/>
        </w:rPr>
        <w:t>第</w:t>
      </w:r>
      <w:r>
        <w:rPr>
          <w:rFonts w:hint="eastAsia" w:ascii="楷体_GB2312" w:hAnsi="楷体_GB2312" w:eastAsia="楷体_GB2312" w:cs="楷体_GB2312"/>
          <w:b/>
          <w:color w:val="auto"/>
          <w:sz w:val="32"/>
          <w:szCs w:val="24"/>
          <w:highlight w:val="none"/>
          <w:lang w:eastAsia="zh-CN"/>
        </w:rPr>
        <w:t>十一</w:t>
      </w:r>
      <w:r>
        <w:rPr>
          <w:rFonts w:hint="eastAsia" w:ascii="楷体_GB2312" w:hAnsi="楷体_GB2312" w:eastAsia="楷体_GB2312" w:cs="楷体_GB2312"/>
          <w:b/>
          <w:color w:val="auto"/>
          <w:sz w:val="32"/>
          <w:szCs w:val="24"/>
          <w:highlight w:val="none"/>
        </w:rPr>
        <w:t>条  招商项目支持</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对开展招商和宣传推介活动的行业协会，经备案后可根据《南山区</w:t>
      </w:r>
      <w:r>
        <w:rPr>
          <w:rFonts w:hint="eastAsia" w:ascii="仿宋_GB2312" w:hAnsi="仿宋_GB2312" w:eastAsia="仿宋_GB2312" w:cs="仿宋_GB2312"/>
          <w:color w:val="000000"/>
          <w:sz w:val="32"/>
          <w:szCs w:val="32"/>
          <w:lang w:eastAsia="zh-CN"/>
        </w:rPr>
        <w:t>促进</w:t>
      </w:r>
      <w:r>
        <w:rPr>
          <w:rFonts w:hint="eastAsia" w:ascii="仿宋_GB2312" w:hAnsi="仿宋_GB2312" w:eastAsia="仿宋_GB2312" w:cs="仿宋_GB2312"/>
          <w:color w:val="000000"/>
          <w:sz w:val="32"/>
          <w:szCs w:val="32"/>
        </w:rPr>
        <w:t>招商引资专项扶持措施》的规定享受相关招商项目扶持政策。</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center"/>
        <w:textAlignment w:val="auto"/>
        <w:rPr>
          <w:rFonts w:hint="eastAsia" w:ascii="黑体" w:hAnsi="黑体" w:eastAsia="黑体" w:cs="宋体"/>
          <w:color w:val="000000"/>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center"/>
        <w:textAlignment w:val="auto"/>
        <w:rPr>
          <w:rFonts w:hint="default" w:ascii="黑体" w:hAnsi="黑体" w:eastAsia="黑体" w:cs="宋体"/>
          <w:color w:val="000000"/>
          <w:kern w:val="0"/>
          <w:sz w:val="32"/>
          <w:szCs w:val="32"/>
          <w:lang w:val="en-US" w:eastAsia="zh-CN"/>
        </w:rPr>
      </w:pPr>
      <w:r>
        <w:rPr>
          <w:rFonts w:hint="eastAsia" w:ascii="黑体" w:hAnsi="黑体" w:eastAsia="黑体" w:cs="宋体"/>
          <w:color w:val="000000"/>
          <w:kern w:val="0"/>
          <w:sz w:val="32"/>
          <w:szCs w:val="32"/>
          <w:lang w:eastAsia="zh-CN"/>
        </w:rPr>
        <w:t>第三章</w:t>
      </w:r>
      <w:r>
        <w:rPr>
          <w:rFonts w:hint="eastAsia" w:ascii="黑体" w:hAnsi="黑体" w:eastAsia="黑体" w:cs="宋体"/>
          <w:color w:val="000000"/>
          <w:kern w:val="0"/>
          <w:sz w:val="32"/>
          <w:szCs w:val="32"/>
          <w:lang w:val="en-US" w:eastAsia="zh-CN"/>
        </w:rPr>
        <w:t xml:space="preserve">  附  则</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firstLineChars="200"/>
        <w:textAlignment w:val="auto"/>
        <w:rPr>
          <w:rFonts w:hint="eastAsia" w:ascii="黑体" w:hAnsi="黑体" w:eastAsia="黑体" w:cs="黑体"/>
          <w:color w:val="000000"/>
          <w:sz w:val="32"/>
          <w:szCs w:val="32"/>
        </w:rPr>
      </w:pP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3" w:firstLineChars="200"/>
        <w:textAlignment w:val="auto"/>
        <w:rPr>
          <w:rFonts w:hint="eastAsia" w:ascii="黑体" w:hAnsi="黑体" w:eastAsia="黑体" w:cs="黑体"/>
          <w:color w:val="000000"/>
          <w:sz w:val="32"/>
          <w:szCs w:val="32"/>
        </w:rPr>
      </w:pPr>
      <w:r>
        <w:rPr>
          <w:rFonts w:hint="eastAsia" w:ascii="楷体_GB2312" w:hAnsi="楷体_GB2312" w:eastAsia="楷体_GB2312" w:cs="楷体_GB2312"/>
          <w:b/>
          <w:color w:val="auto"/>
          <w:sz w:val="32"/>
          <w:szCs w:val="24"/>
          <w:highlight w:val="none"/>
        </w:rPr>
        <w:t>第十</w:t>
      </w:r>
      <w:r>
        <w:rPr>
          <w:rFonts w:hint="eastAsia" w:ascii="楷体_GB2312" w:hAnsi="楷体_GB2312" w:eastAsia="楷体_GB2312" w:cs="楷体_GB2312"/>
          <w:b/>
          <w:color w:val="auto"/>
          <w:sz w:val="32"/>
          <w:szCs w:val="24"/>
          <w:highlight w:val="none"/>
          <w:lang w:eastAsia="zh-CN"/>
        </w:rPr>
        <w:t>二</w:t>
      </w:r>
      <w:r>
        <w:rPr>
          <w:rFonts w:hint="eastAsia" w:ascii="楷体_GB2312" w:hAnsi="楷体_GB2312" w:eastAsia="楷体_GB2312" w:cs="楷体_GB2312"/>
          <w:b/>
          <w:color w:val="auto"/>
          <w:sz w:val="32"/>
          <w:szCs w:val="24"/>
          <w:highlight w:val="none"/>
        </w:rPr>
        <w:t xml:space="preserve">条 </w:t>
      </w:r>
      <w:r>
        <w:rPr>
          <w:rFonts w:hint="eastAsia" w:ascii="黑体" w:hAnsi="黑体" w:eastAsia="黑体" w:cs="黑体"/>
          <w:color w:val="000000"/>
          <w:sz w:val="32"/>
          <w:szCs w:val="32"/>
        </w:rPr>
        <w:t xml:space="preserve"> </w:t>
      </w:r>
      <w:r>
        <w:rPr>
          <w:rFonts w:hint="eastAsia" w:ascii="仿宋_GB2312" w:hAnsi="仿宋_GB2312" w:eastAsia="仿宋_GB2312" w:cs="仿宋_GB2312"/>
          <w:color w:val="000000"/>
          <w:sz w:val="32"/>
          <w:szCs w:val="32"/>
        </w:rPr>
        <w:t>符合区政府产业发展定位和方向的行业协会开展特大、紧缺、关键项目，可按“一事一议”的方式报区自主创新产业发展专项资金领导小组会议审议。</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textAlignment w:val="auto"/>
        <w:rPr>
          <w:rFonts w:hint="eastAsia"/>
        </w:rPr>
      </w:pPr>
      <w:r>
        <w:rPr>
          <w:rFonts w:hint="eastAsia" w:ascii="黑体" w:hAnsi="黑体" w:eastAsia="黑体" w:cs="黑体"/>
          <w:color w:val="000000"/>
          <w:sz w:val="32"/>
          <w:szCs w:val="32"/>
          <w:lang w:val="en-US" w:eastAsia="zh-CN"/>
        </w:rPr>
        <w:t xml:space="preserve">    </w:t>
      </w:r>
      <w:r>
        <w:rPr>
          <w:rFonts w:hint="eastAsia" w:ascii="楷体_GB2312" w:hAnsi="楷体_GB2312" w:eastAsia="楷体_GB2312" w:cs="楷体_GB2312"/>
          <w:b/>
          <w:color w:val="auto"/>
          <w:sz w:val="32"/>
          <w:szCs w:val="24"/>
          <w:highlight w:val="none"/>
          <w:lang w:eastAsia="zh-CN"/>
        </w:rPr>
        <w:t>第</w:t>
      </w:r>
      <w:r>
        <w:rPr>
          <w:rFonts w:hint="eastAsia" w:ascii="楷体_GB2312" w:hAnsi="楷体_GB2312" w:eastAsia="楷体_GB2312" w:cs="楷体_GB2312"/>
          <w:b/>
          <w:color w:val="auto"/>
          <w:sz w:val="32"/>
          <w:szCs w:val="24"/>
          <w:highlight w:val="none"/>
        </w:rPr>
        <w:t>十</w:t>
      </w:r>
      <w:r>
        <w:rPr>
          <w:rFonts w:hint="eastAsia" w:ascii="楷体_GB2312" w:hAnsi="楷体_GB2312" w:eastAsia="楷体_GB2312" w:cs="楷体_GB2312"/>
          <w:b/>
          <w:color w:val="auto"/>
          <w:sz w:val="32"/>
          <w:szCs w:val="24"/>
          <w:highlight w:val="none"/>
          <w:lang w:eastAsia="zh-CN"/>
        </w:rPr>
        <w:t>三</w:t>
      </w:r>
      <w:r>
        <w:rPr>
          <w:rFonts w:hint="eastAsia" w:ascii="楷体_GB2312" w:hAnsi="楷体_GB2312" w:eastAsia="楷体_GB2312" w:cs="楷体_GB2312"/>
          <w:b/>
          <w:color w:val="auto"/>
          <w:sz w:val="32"/>
          <w:szCs w:val="24"/>
          <w:highlight w:val="none"/>
        </w:rPr>
        <w:t xml:space="preserve">条 </w:t>
      </w:r>
      <w:r>
        <w:rPr>
          <w:rFonts w:hint="eastAsia" w:ascii="黑体" w:hAnsi="黑体" w:eastAsia="黑体" w:cs="黑体"/>
          <w:color w:val="000000"/>
          <w:sz w:val="32"/>
          <w:szCs w:val="32"/>
        </w:rPr>
        <w:t xml:space="preserve"> </w:t>
      </w:r>
      <w:r>
        <w:rPr>
          <w:rFonts w:hint="eastAsia" w:ascii="仿宋_GB2312" w:hAnsi="仿宋_GB2312" w:eastAsia="仿宋_GB2312" w:cs="仿宋_GB2312"/>
          <w:color w:val="000000"/>
          <w:sz w:val="32"/>
          <w:szCs w:val="32"/>
        </w:rPr>
        <w:t>本措施自发布之日起施行，有效期三年，由区</w:t>
      </w:r>
      <w:r>
        <w:rPr>
          <w:rFonts w:hint="eastAsia" w:ascii="仿宋_GB2312" w:hAnsi="仿宋_GB2312" w:eastAsia="仿宋_GB2312" w:cs="仿宋_GB2312"/>
          <w:color w:val="000000"/>
          <w:sz w:val="32"/>
          <w:szCs w:val="32"/>
          <w:lang w:eastAsia="zh-CN"/>
        </w:rPr>
        <w:t>企服</w:t>
      </w:r>
      <w:r>
        <w:rPr>
          <w:rFonts w:hint="eastAsia" w:ascii="仿宋_GB2312" w:hAnsi="仿宋_GB2312" w:eastAsia="仿宋_GB2312" w:cs="仿宋_GB2312"/>
          <w:color w:val="000000"/>
          <w:sz w:val="32"/>
          <w:szCs w:val="32"/>
        </w:rPr>
        <w:t>中心负责解释。</w:t>
      </w:r>
    </w:p>
    <w:p>
      <w:pPr>
        <w:spacing w:line="560" w:lineRule="exact"/>
        <w:ind w:firstLine="640"/>
      </w:pPr>
      <w:r>
        <w:rPr>
          <w:rFonts w:hint="eastAsia" w:ascii="楷体_GB2312" w:hAnsi="楷体_GB2312" w:eastAsia="楷体_GB2312" w:cs="楷体_GB2312"/>
          <w:b/>
          <w:color w:val="auto"/>
          <w:sz w:val="32"/>
          <w:szCs w:val="24"/>
          <w:highlight w:val="none"/>
          <w:lang w:eastAsia="zh-CN"/>
        </w:rPr>
        <w:t>第十四条</w:t>
      </w:r>
      <w:r>
        <w:rPr>
          <w:rFonts w:hint="eastAsia" w:ascii="仿宋_GB2312" w:hAnsi="仿宋_GB2312" w:eastAsia="仿宋_GB2312" w:cs="仿宋_GB2312"/>
          <w:color w:val="000000"/>
          <w:sz w:val="32"/>
          <w:szCs w:val="32"/>
          <w:lang w:val="en-US" w:eastAsia="zh-CN"/>
        </w:rPr>
        <w:t xml:space="preserve">  本措施</w:t>
      </w:r>
      <w:r>
        <w:rPr>
          <w:rFonts w:hint="eastAsia" w:ascii="仿宋_GB2312" w:hAnsi="仿宋_GB2312" w:eastAsia="仿宋_GB2312" w:cs="仿宋_GB2312"/>
          <w:color w:val="000000"/>
          <w:sz w:val="32"/>
          <w:szCs w:val="32"/>
        </w:rPr>
        <w:t>由区</w:t>
      </w:r>
      <w:r>
        <w:rPr>
          <w:rFonts w:hint="eastAsia" w:ascii="仿宋_GB2312" w:hAnsi="仿宋_GB2312" w:eastAsia="仿宋_GB2312" w:cs="仿宋_GB2312"/>
          <w:color w:val="000000"/>
          <w:sz w:val="32"/>
          <w:szCs w:val="32"/>
          <w:lang w:eastAsia="zh-CN"/>
        </w:rPr>
        <w:t>企服</w:t>
      </w:r>
      <w:r>
        <w:rPr>
          <w:rFonts w:hint="eastAsia" w:ascii="仿宋_GB2312" w:hAnsi="仿宋_GB2312" w:eastAsia="仿宋_GB2312" w:cs="仿宋_GB2312"/>
          <w:color w:val="000000"/>
          <w:sz w:val="32"/>
          <w:szCs w:val="32"/>
        </w:rPr>
        <w:t>中心负责解释</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制定与本措施相关的操作规程。</w:t>
      </w:r>
    </w:p>
    <w:p>
      <w:pPr>
        <w:keepNext w:val="0"/>
        <w:keepLines w:val="0"/>
        <w:pageBreakBefore w:val="0"/>
        <w:widowControl w:val="0"/>
        <w:wordWrap/>
        <w:topLinePunct w:val="0"/>
        <w:bidi w:val="0"/>
        <w:spacing w:beforeAutospacing="0" w:afterAutospacing="0" w:line="560" w:lineRule="exact"/>
        <w:ind w:left="0" w:leftChars="0"/>
      </w:pPr>
    </w:p>
    <w:sectPr>
      <w:pgSz w:w="11906" w:h="16838"/>
      <w:pgMar w:top="1701"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Segoe UI Symbol">
    <w:panose1 w:val="020B0502040204020203"/>
    <w:charset w:val="00"/>
    <w:family w:val="swiss"/>
    <w:pitch w:val="default"/>
    <w:sig w:usb0="800001E3" w:usb1="1200FFEF" w:usb2="00040000" w:usb3="04000000" w:csb0="00000001" w:csb1="40000000"/>
  </w:font>
  <w:font w:name="Calibri Light">
    <w:panose1 w:val="020F03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639A0B"/>
    <w:multiLevelType w:val="singleLevel"/>
    <w:tmpl w:val="98639A0B"/>
    <w:lvl w:ilvl="0" w:tentative="0">
      <w:start w:val="1"/>
      <w:numFmt w:val="chineseCounting"/>
      <w:suff w:val="nothing"/>
      <w:lvlText w:val="（%1）"/>
      <w:lvlJc w:val="left"/>
      <w:pPr>
        <w:ind w:left="0" w:firstLine="420"/>
      </w:pPr>
      <w:rPr>
        <w:rFonts w:hint="eastAsia"/>
      </w:rPr>
    </w:lvl>
  </w:abstractNum>
  <w:abstractNum w:abstractNumId="1">
    <w:nsid w:val="FB203DE5"/>
    <w:multiLevelType w:val="singleLevel"/>
    <w:tmpl w:val="FB203DE5"/>
    <w:lvl w:ilvl="0" w:tentative="0">
      <w:start w:val="2"/>
      <w:numFmt w:val="chineseCounting"/>
      <w:suff w:val="space"/>
      <w:lvlText w:val="第%1章"/>
      <w:lvlJc w:val="left"/>
      <w:rPr>
        <w:rFonts w:hint="eastAsia"/>
      </w:rPr>
    </w:lvl>
  </w:abstractNum>
  <w:abstractNum w:abstractNumId="2">
    <w:nsid w:val="1A1BD604"/>
    <w:multiLevelType w:val="singleLevel"/>
    <w:tmpl w:val="1A1BD604"/>
    <w:lvl w:ilvl="0" w:tentative="0">
      <w:start w:val="1"/>
      <w:numFmt w:val="chineseCounting"/>
      <w:suff w:val="nothing"/>
      <w:lvlText w:val="（%1）"/>
      <w:lvlJc w:val="left"/>
      <w:rPr>
        <w:rFonts w:hint="eastAsia"/>
      </w:rPr>
    </w:lvl>
  </w:abstractNum>
  <w:abstractNum w:abstractNumId="3">
    <w:nsid w:val="1FA41413"/>
    <w:multiLevelType w:val="multilevel"/>
    <w:tmpl w:val="1FA41413"/>
    <w:lvl w:ilvl="0" w:tentative="0">
      <w:start w:val="1"/>
      <w:numFmt w:val="japaneseCounting"/>
      <w:lvlText w:val="（%1）"/>
      <w:lvlJc w:val="left"/>
      <w:pPr>
        <w:ind w:left="2260" w:hanging="855"/>
      </w:pPr>
      <w:rPr>
        <w:rFonts w:hint="default"/>
        <w:lang w:val="en-US"/>
      </w:rPr>
    </w:lvl>
    <w:lvl w:ilvl="1" w:tentative="0">
      <w:start w:val="1"/>
      <w:numFmt w:val="lowerLetter"/>
      <w:lvlText w:val="%2)"/>
      <w:lvlJc w:val="left"/>
      <w:pPr>
        <w:ind w:left="1467" w:hanging="420"/>
      </w:pPr>
    </w:lvl>
    <w:lvl w:ilvl="2" w:tentative="0">
      <w:start w:val="1"/>
      <w:numFmt w:val="lowerRoman"/>
      <w:lvlText w:val="%3."/>
      <w:lvlJc w:val="right"/>
      <w:pPr>
        <w:ind w:left="1887" w:hanging="420"/>
      </w:pPr>
    </w:lvl>
    <w:lvl w:ilvl="3" w:tentative="0">
      <w:start w:val="1"/>
      <w:numFmt w:val="decimal"/>
      <w:lvlText w:val="%4."/>
      <w:lvlJc w:val="left"/>
      <w:pPr>
        <w:ind w:left="2307" w:hanging="420"/>
      </w:pPr>
    </w:lvl>
    <w:lvl w:ilvl="4" w:tentative="0">
      <w:start w:val="1"/>
      <w:numFmt w:val="lowerLetter"/>
      <w:lvlText w:val="%5)"/>
      <w:lvlJc w:val="left"/>
      <w:pPr>
        <w:ind w:left="2727" w:hanging="420"/>
      </w:pPr>
    </w:lvl>
    <w:lvl w:ilvl="5" w:tentative="0">
      <w:start w:val="1"/>
      <w:numFmt w:val="lowerRoman"/>
      <w:lvlText w:val="%6."/>
      <w:lvlJc w:val="right"/>
      <w:pPr>
        <w:ind w:left="3147" w:hanging="420"/>
      </w:pPr>
    </w:lvl>
    <w:lvl w:ilvl="6" w:tentative="0">
      <w:start w:val="1"/>
      <w:numFmt w:val="decimal"/>
      <w:lvlText w:val="%7."/>
      <w:lvlJc w:val="left"/>
      <w:pPr>
        <w:ind w:left="3567" w:hanging="420"/>
      </w:pPr>
    </w:lvl>
    <w:lvl w:ilvl="7" w:tentative="0">
      <w:start w:val="1"/>
      <w:numFmt w:val="lowerLetter"/>
      <w:lvlText w:val="%8)"/>
      <w:lvlJc w:val="left"/>
      <w:pPr>
        <w:ind w:left="3987" w:hanging="420"/>
      </w:pPr>
    </w:lvl>
    <w:lvl w:ilvl="8" w:tentative="0">
      <w:start w:val="1"/>
      <w:numFmt w:val="lowerRoman"/>
      <w:lvlText w:val="%9."/>
      <w:lvlJc w:val="right"/>
      <w:pPr>
        <w:ind w:left="4407" w:hanging="420"/>
      </w:pPr>
    </w:lvl>
  </w:abstractNum>
  <w:abstractNum w:abstractNumId="4">
    <w:nsid w:val="39A6C160"/>
    <w:multiLevelType w:val="singleLevel"/>
    <w:tmpl w:val="39A6C160"/>
    <w:lvl w:ilvl="0" w:tentative="0">
      <w:start w:val="1"/>
      <w:numFmt w:val="chineseCounting"/>
      <w:suff w:val="nothing"/>
      <w:lvlText w:val="（%1）"/>
      <w:lvlJc w:val="left"/>
      <w:pPr>
        <w:ind w:left="-10"/>
      </w:pPr>
      <w:rPr>
        <w:rFonts w:hint="eastAsia"/>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2F3604"/>
    <w:rsid w:val="057F0D93"/>
    <w:rsid w:val="05AC3B9F"/>
    <w:rsid w:val="06896C9B"/>
    <w:rsid w:val="0A1B550F"/>
    <w:rsid w:val="0BBC0137"/>
    <w:rsid w:val="0BDB70BC"/>
    <w:rsid w:val="0C5B5759"/>
    <w:rsid w:val="0C7D033C"/>
    <w:rsid w:val="0EED21C7"/>
    <w:rsid w:val="0FB34B4A"/>
    <w:rsid w:val="1255782F"/>
    <w:rsid w:val="1322106F"/>
    <w:rsid w:val="172C0A2B"/>
    <w:rsid w:val="1A646862"/>
    <w:rsid w:val="1ACB4904"/>
    <w:rsid w:val="1C0D4CD7"/>
    <w:rsid w:val="1D706B8E"/>
    <w:rsid w:val="1FFA07D6"/>
    <w:rsid w:val="224B24D3"/>
    <w:rsid w:val="228219CA"/>
    <w:rsid w:val="2CFA0204"/>
    <w:rsid w:val="2E9B15ED"/>
    <w:rsid w:val="2F3D1D61"/>
    <w:rsid w:val="30242BE5"/>
    <w:rsid w:val="34567FB6"/>
    <w:rsid w:val="34981CFC"/>
    <w:rsid w:val="3928638C"/>
    <w:rsid w:val="39424F76"/>
    <w:rsid w:val="39811FCF"/>
    <w:rsid w:val="39B44138"/>
    <w:rsid w:val="3A2669F5"/>
    <w:rsid w:val="3A271548"/>
    <w:rsid w:val="3DA16CAC"/>
    <w:rsid w:val="42C54CE4"/>
    <w:rsid w:val="44096C1E"/>
    <w:rsid w:val="440E72B6"/>
    <w:rsid w:val="45A91255"/>
    <w:rsid w:val="466F284C"/>
    <w:rsid w:val="470C6737"/>
    <w:rsid w:val="47457D7D"/>
    <w:rsid w:val="47693357"/>
    <w:rsid w:val="4A0813F1"/>
    <w:rsid w:val="4A7B5C2A"/>
    <w:rsid w:val="4BC57A01"/>
    <w:rsid w:val="4BD71F7D"/>
    <w:rsid w:val="4D330192"/>
    <w:rsid w:val="4F100791"/>
    <w:rsid w:val="4F5C5731"/>
    <w:rsid w:val="501032F0"/>
    <w:rsid w:val="51A33AFF"/>
    <w:rsid w:val="52990251"/>
    <w:rsid w:val="52F04646"/>
    <w:rsid w:val="552E36BA"/>
    <w:rsid w:val="561074A3"/>
    <w:rsid w:val="5ED03ED6"/>
    <w:rsid w:val="5FB52DF9"/>
    <w:rsid w:val="614C6215"/>
    <w:rsid w:val="62F5596F"/>
    <w:rsid w:val="640A4616"/>
    <w:rsid w:val="65C22480"/>
    <w:rsid w:val="66CE4AE0"/>
    <w:rsid w:val="709C4360"/>
    <w:rsid w:val="744578B5"/>
    <w:rsid w:val="77F27A3E"/>
    <w:rsid w:val="79181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ind w:leftChars="0" w:firstLine="0" w:firstLineChars="0"/>
      <w:jc w:val="center"/>
      <w:outlineLvl w:val="0"/>
    </w:pPr>
    <w:rPr>
      <w:rFonts w:eastAsia="黑体"/>
      <w:kern w:val="44"/>
    </w:rPr>
  </w:style>
  <w:style w:type="paragraph" w:styleId="3">
    <w:name w:val="heading 2"/>
    <w:basedOn w:val="1"/>
    <w:next w:val="1"/>
    <w:unhideWhenUsed/>
    <w:qFormat/>
    <w:uiPriority w:val="0"/>
    <w:pPr>
      <w:keepNext/>
      <w:keepLines/>
      <w:spacing w:before="50" w:beforeLines="50" w:after="50" w:afterLines="50"/>
      <w:ind w:leftChars="300"/>
      <w:outlineLvl w:val="1"/>
    </w:pPr>
    <w:rPr>
      <w:rFonts w:ascii="Arial" w:hAnsi="Arial" w:eastAsia="CESI仿宋-GB2312"/>
      <w:b/>
      <w:sz w:val="32"/>
    </w:rPr>
  </w:style>
  <w:style w:type="paragraph" w:styleId="4">
    <w:name w:val="heading 3"/>
    <w:basedOn w:val="1"/>
    <w:next w:val="1"/>
    <w:unhideWhenUsed/>
    <w:qFormat/>
    <w:uiPriority w:val="0"/>
    <w:pPr>
      <w:keepNext/>
      <w:keepLines/>
      <w:outlineLvl w:val="2"/>
    </w:pPr>
    <w:rPr>
      <w:rFonts w:ascii="Calibri" w:hAnsi="Calibri" w:cs="Times New Roman"/>
      <w:b/>
    </w:rPr>
  </w:style>
  <w:style w:type="paragraph" w:styleId="5">
    <w:name w:val="heading 4"/>
    <w:basedOn w:val="1"/>
    <w:next w:val="1"/>
    <w:qFormat/>
    <w:uiPriority w:val="0"/>
    <w:pPr>
      <w:keepNext/>
      <w:keepLines/>
      <w:spacing w:before="280" w:after="290" w:line="376" w:lineRule="auto"/>
      <w:outlineLvl w:val="3"/>
    </w:pPr>
    <w:rPr>
      <w:rFonts w:ascii="Cambria" w:hAnsi="Cambria" w:eastAsia="宋体" w:cs="Times New Roman"/>
      <w:b/>
      <w:bCs/>
      <w:sz w:val="28"/>
      <w:szCs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0"/>
    <w:pPr>
      <w:jc w:val="center"/>
    </w:pPr>
    <w:rPr>
      <w:rFonts w:eastAsia="华文中宋"/>
      <w:sz w:val="44"/>
    </w:rPr>
  </w:style>
  <w:style w:type="paragraph" w:styleId="7">
    <w:name w:val="Plain Text"/>
    <w:basedOn w:val="1"/>
    <w:qFormat/>
    <w:uiPriority w:val="0"/>
    <w:pPr>
      <w:widowControl/>
      <w:spacing w:line="560" w:lineRule="exact"/>
      <w:ind w:firstLine="200" w:firstLineChars="200"/>
    </w:pPr>
    <w:rPr>
      <w:rFonts w:ascii="宋体" w:hAnsi="Courier New" w:cs="宋体"/>
      <w:kern w:val="0"/>
    </w:r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widowControl w:val="0"/>
      <w:spacing w:line="560" w:lineRule="exact"/>
      <w:jc w:val="both"/>
      <w:outlineLvl w:val="0"/>
    </w:pPr>
    <w:rPr>
      <w:rFonts w:eastAsia="黑体" w:asciiTheme="minorHAnsi" w:hAnsiTheme="minorHAnsi" w:cstheme="minorBidi"/>
      <w:kern w:val="2"/>
      <w:sz w:val="32"/>
      <w:szCs w:val="24"/>
      <w:lang w:val="en-US" w:eastAsia="zh-CN" w:bidi="ar-SA"/>
    </w:rPr>
  </w:style>
  <w:style w:type="paragraph" w:styleId="11">
    <w:name w:val="Normal (Web)"/>
    <w:basedOn w:val="1"/>
    <w:qFormat/>
    <w:uiPriority w:val="0"/>
    <w:pPr>
      <w:spacing w:beforeAutospacing="1" w:afterAutospacing="1"/>
      <w:jc w:val="left"/>
    </w:pPr>
    <w:rPr>
      <w:kern w:val="0"/>
      <w:sz w:val="24"/>
    </w:rPr>
  </w:style>
  <w:style w:type="paragraph" w:styleId="12">
    <w:name w:val="Body Text First Indent"/>
    <w:basedOn w:val="6"/>
    <w:unhideWhenUsed/>
    <w:qFormat/>
    <w:uiPriority w:val="99"/>
    <w:pPr>
      <w:widowControl w:val="0"/>
      <w:spacing w:after="120"/>
      <w:ind w:firstLine="420" w:firstLineChars="100"/>
      <w:jc w:val="both"/>
    </w:pPr>
    <w:rPr>
      <w:rFonts w:ascii="Calibri" w:hAnsi="Calibri" w:eastAsia="宋体" w:cs="Times New Roman"/>
      <w:kern w:val="2"/>
      <w:sz w:val="21"/>
      <w:szCs w:val="22"/>
      <w:lang w:val="en-US" w:eastAsia="zh-CN" w:bidi="ar-SA"/>
    </w:rPr>
  </w:style>
  <w:style w:type="character" w:styleId="15">
    <w:name w:val="Strong"/>
    <w:basedOn w:val="14"/>
    <w:qFormat/>
    <w:uiPriority w:val="0"/>
    <w:rPr>
      <w:b/>
    </w:rPr>
  </w:style>
  <w:style w:type="paragraph" w:styleId="16">
    <w:name w:val="List Paragraph"/>
    <w:basedOn w:val="1"/>
    <w:qFormat/>
    <w:uiPriority w:val="34"/>
    <w:pPr>
      <w:ind w:firstLine="420" w:firstLineChars="200"/>
    </w:pPr>
  </w:style>
  <w:style w:type="paragraph" w:customStyle="1" w:styleId="17">
    <w:name w:val="No Spacing_f0065b44-984c-4326-aae1-4197f2f7b789"/>
    <w:qFormat/>
    <w:uiPriority w:val="0"/>
    <w:pPr>
      <w:widowControl w:val="0"/>
      <w:spacing w:after="0" w:line="240" w:lineRule="auto"/>
      <w:jc w:val="both"/>
    </w:pPr>
    <w:rPr>
      <w:rFonts w:ascii="Calibri" w:hAnsi="Calibri" w:eastAsia="宋体" w:cs="黑体"/>
      <w:kern w:val="2"/>
      <w:sz w:val="21"/>
      <w:szCs w:val="22"/>
      <w:lang w:val="en-US" w:eastAsia="zh-CN" w:bidi="ar-SA"/>
    </w:rPr>
  </w:style>
  <w:style w:type="paragraph" w:customStyle="1" w:styleId="18">
    <w:name w:val="列出段落2"/>
    <w:basedOn w:val="1"/>
    <w:qFormat/>
    <w:uiPriority w:val="0"/>
    <w:pPr>
      <w:ind w:firstLine="420" w:firstLineChars="200"/>
    </w:pPr>
    <w:rPr>
      <w:rFonts w:eastAsia="宋体"/>
    </w:rPr>
  </w:style>
  <w:style w:type="character" w:customStyle="1" w:styleId="19">
    <w:name w:val="fontstyle01"/>
    <w:basedOn w:val="14"/>
    <w:qFormat/>
    <w:uiPriority w:val="0"/>
    <w:rPr>
      <w:rFonts w:hint="eastAsia" w:ascii="仿宋_GB2312" w:eastAsia="仿宋_GB2312"/>
      <w:color w:val="000000"/>
      <w:sz w:val="32"/>
      <w:szCs w:val="32"/>
    </w:rPr>
  </w:style>
  <w:style w:type="paragraph" w:customStyle="1" w:styleId="2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王一帆</cp:lastModifiedBy>
  <dcterms:modified xsi:type="dcterms:W3CDTF">2022-09-29T10:27:31Z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479896D225194CD984C1A5A4DA657C55</vt:lpwstr>
  </property>
</Properties>
</file>